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7C0" w:rsidRDefault="008D67C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D67C0" w:rsidRDefault="008D67C0">
      <w:pPr>
        <w:pStyle w:val="ConsPlusNormal"/>
        <w:jc w:val="both"/>
        <w:outlineLvl w:val="0"/>
      </w:pPr>
    </w:p>
    <w:p w:rsidR="008D67C0" w:rsidRDefault="008D67C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D67C0" w:rsidRDefault="008D67C0">
      <w:pPr>
        <w:pStyle w:val="ConsPlusTitle"/>
        <w:ind w:firstLine="540"/>
        <w:jc w:val="both"/>
      </w:pPr>
    </w:p>
    <w:p w:rsidR="008D67C0" w:rsidRDefault="008D67C0">
      <w:pPr>
        <w:pStyle w:val="ConsPlusTitle"/>
        <w:jc w:val="center"/>
      </w:pPr>
      <w:r>
        <w:t>РАСПОРЯЖЕНИЕ</w:t>
      </w:r>
    </w:p>
    <w:p w:rsidR="008D67C0" w:rsidRDefault="008D67C0">
      <w:pPr>
        <w:pStyle w:val="ConsPlusTitle"/>
        <w:jc w:val="center"/>
      </w:pPr>
      <w:r>
        <w:t>от 8 октября 2025 г. N 2816-р</w:t>
      </w:r>
    </w:p>
    <w:p w:rsidR="008D67C0" w:rsidRDefault="008D67C0">
      <w:pPr>
        <w:pStyle w:val="ConsPlusNormal"/>
        <w:jc w:val="center"/>
      </w:pPr>
    </w:p>
    <w:p w:rsidR="008D67C0" w:rsidRDefault="008D67C0">
      <w:pPr>
        <w:pStyle w:val="ConsPlusNormal"/>
        <w:ind w:firstLine="540"/>
        <w:jc w:val="both"/>
      </w:pPr>
      <w:r>
        <w:t xml:space="preserve">1. Утвердить прилагаемый Национальный </w:t>
      </w:r>
      <w:hyperlink w:anchor="P32">
        <w:r>
          <w:rPr>
            <w:color w:val="0000FF"/>
          </w:rPr>
          <w:t>план</w:t>
        </w:r>
      </w:hyperlink>
      <w:r>
        <w:t xml:space="preserve"> ("дорожную карту") развития конкуренции в Российской Федерации на 2026 - 2030 годы (далее - национальный план).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2. Реализация национального </w:t>
      </w:r>
      <w:hyperlink w:anchor="P32">
        <w:r>
          <w:rPr>
            <w:color w:val="0000FF"/>
          </w:rPr>
          <w:t>плана</w:t>
        </w:r>
      </w:hyperlink>
      <w:r>
        <w:t xml:space="preserve"> осуществляется федеральными органами исполнительной власти в пределах установленной предельной численности работников их центральных аппаратов и территориальных органов, а также бюджетных ассигнований, предусмотренных им в федеральном бюджете на выполнение функций в установленной сфере деятельности.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3. Руководителям федеральных органов исполнительной власти, ответственных за реализацию национального </w:t>
      </w:r>
      <w:hyperlink w:anchor="P32">
        <w:r>
          <w:rPr>
            <w:color w:val="0000FF"/>
          </w:rPr>
          <w:t>плана</w:t>
        </w:r>
      </w:hyperlink>
      <w:r>
        <w:t>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обеспечить реализацию национального </w:t>
      </w:r>
      <w:hyperlink w:anchor="P32">
        <w:r>
          <w:rPr>
            <w:color w:val="0000FF"/>
          </w:rPr>
          <w:t>плана</w:t>
        </w:r>
      </w:hyperlink>
      <w:r>
        <w:t>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ежеквартально, до 5-го числа месяца, следующего за отчетным кварталом, направлять в ФАС России информацию о ходе реализации национального </w:t>
      </w:r>
      <w:hyperlink w:anchor="P32">
        <w:r>
          <w:rPr>
            <w:color w:val="0000FF"/>
          </w:rPr>
          <w:t>плана</w:t>
        </w:r>
      </w:hyperlink>
      <w:r>
        <w:t>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4. ФАС России: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обеспечить мониторинг и контроль реализации национального </w:t>
      </w:r>
      <w:hyperlink w:anchor="P32">
        <w:r>
          <w:rPr>
            <w:color w:val="0000FF"/>
          </w:rPr>
          <w:t>плана</w:t>
        </w:r>
      </w:hyperlink>
      <w:r>
        <w:t>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ежеквартально, до 25-го числа месяца, следующего за отчетным кварталом, представлять в Правительство Российской Федерации информацию о ходе реализации национального </w:t>
      </w:r>
      <w:hyperlink w:anchor="P32">
        <w:r>
          <w:rPr>
            <w:color w:val="0000FF"/>
          </w:rPr>
          <w:t>плана</w:t>
        </w:r>
      </w:hyperlink>
      <w:r>
        <w:t>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5. Рекомендовать органам государственной власти субъектов Российской Федерации: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обеспечить ежегодное размещение на официальных сайтах исполнительных органов субъектов Российской Федерации, ответственных за реализацию государственной политики по развитию конкуренции в субъекте Российской Федерации, в информационно-телекоммуникационной сети "Интернет" информации о результатах реализации государственной политики по развитию конкуренции, в том числе положений национального </w:t>
      </w:r>
      <w:hyperlink w:anchor="P32">
        <w:r>
          <w:rPr>
            <w:color w:val="0000FF"/>
          </w:rPr>
          <w:t>плана</w:t>
        </w:r>
      </w:hyperlink>
      <w:r>
        <w:t>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в срок до 1 мая 2026 г. утвердить планы мероприятий ("дорожные карты") </w:t>
      </w:r>
      <w:r>
        <w:lastRenderedPageBreak/>
        <w:t>по содействию развитию конкуренции в субъектах Российской Федерации на 2026 - 2030 годы с учетом требований стандарта развития конкуренции в субъектах Российской Федерации;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при проведении оценки регулирующего воздействия проектов нормативных правовых актов субъектов Российской Федерации учитывать их влияние на состояние конкуренции.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jc w:val="right"/>
      </w:pPr>
      <w:r>
        <w:t>Председатель Правительства</w:t>
      </w:r>
    </w:p>
    <w:p w:rsidR="008D67C0" w:rsidRDefault="008D67C0">
      <w:pPr>
        <w:pStyle w:val="ConsPlusNormal"/>
        <w:jc w:val="right"/>
      </w:pPr>
      <w:r>
        <w:t>Российской Федерации</w:t>
      </w:r>
    </w:p>
    <w:p w:rsidR="008D67C0" w:rsidRDefault="008D67C0">
      <w:pPr>
        <w:pStyle w:val="ConsPlusNormal"/>
        <w:jc w:val="right"/>
      </w:pPr>
      <w:r>
        <w:t>М.МИШУСТИН</w:t>
      </w:r>
    </w:p>
    <w:p w:rsidR="008D67C0" w:rsidRDefault="008D67C0">
      <w:pPr>
        <w:pStyle w:val="ConsPlusNormal"/>
        <w:jc w:val="right"/>
      </w:pPr>
    </w:p>
    <w:p w:rsidR="008D67C0" w:rsidRDefault="008D67C0">
      <w:pPr>
        <w:pStyle w:val="ConsPlusNormal"/>
        <w:jc w:val="right"/>
      </w:pPr>
    </w:p>
    <w:p w:rsidR="008D67C0" w:rsidRDefault="008D67C0">
      <w:pPr>
        <w:pStyle w:val="ConsPlusNormal"/>
        <w:jc w:val="right"/>
      </w:pPr>
    </w:p>
    <w:p w:rsidR="008D67C0" w:rsidRDefault="008D67C0">
      <w:pPr>
        <w:pStyle w:val="ConsPlusNormal"/>
        <w:jc w:val="right"/>
      </w:pPr>
    </w:p>
    <w:p w:rsidR="008D67C0" w:rsidRDefault="008D67C0">
      <w:pPr>
        <w:pStyle w:val="ConsPlusNormal"/>
        <w:jc w:val="right"/>
      </w:pPr>
    </w:p>
    <w:p w:rsidR="008D67C0" w:rsidRDefault="008D67C0">
      <w:pPr>
        <w:pStyle w:val="ConsPlusNormal"/>
        <w:jc w:val="right"/>
        <w:outlineLvl w:val="0"/>
      </w:pPr>
      <w:r>
        <w:t>Утвержден</w:t>
      </w:r>
    </w:p>
    <w:p w:rsidR="008D67C0" w:rsidRDefault="008D67C0">
      <w:pPr>
        <w:pStyle w:val="ConsPlusNormal"/>
        <w:jc w:val="right"/>
      </w:pPr>
      <w:r>
        <w:t>распоряжением Правительства</w:t>
      </w:r>
    </w:p>
    <w:p w:rsidR="008D67C0" w:rsidRDefault="008D67C0">
      <w:pPr>
        <w:pStyle w:val="ConsPlusNormal"/>
        <w:jc w:val="right"/>
      </w:pPr>
      <w:r>
        <w:t>Российской Федерации</w:t>
      </w:r>
    </w:p>
    <w:p w:rsidR="008D67C0" w:rsidRDefault="008D67C0">
      <w:pPr>
        <w:pStyle w:val="ConsPlusNormal"/>
        <w:jc w:val="right"/>
      </w:pPr>
      <w:r>
        <w:t>от 8 октября 2025 г. N 2816-р</w:t>
      </w:r>
    </w:p>
    <w:p w:rsidR="008D67C0" w:rsidRDefault="008D67C0">
      <w:pPr>
        <w:pStyle w:val="ConsPlusNormal"/>
        <w:jc w:val="center"/>
      </w:pPr>
    </w:p>
    <w:p w:rsidR="008D67C0" w:rsidRDefault="008D67C0">
      <w:pPr>
        <w:pStyle w:val="ConsPlusTitle"/>
        <w:jc w:val="center"/>
      </w:pPr>
      <w:bookmarkStart w:id="0" w:name="P32"/>
      <w:bookmarkEnd w:id="0"/>
      <w:r>
        <w:t>НАЦИОНАЛЬНЫЙ ПЛАН</w:t>
      </w:r>
    </w:p>
    <w:p w:rsidR="008D67C0" w:rsidRDefault="008D67C0">
      <w:pPr>
        <w:pStyle w:val="ConsPlusTitle"/>
        <w:jc w:val="center"/>
      </w:pPr>
      <w:r>
        <w:t>("ДОРОЖНАЯ КАРТА") РАЗВИТИЯ КОНКУРЕНЦИИ В РОССИЙСКОЙ</w:t>
      </w:r>
    </w:p>
    <w:p w:rsidR="008D67C0" w:rsidRDefault="008D67C0">
      <w:pPr>
        <w:pStyle w:val="ConsPlusTitle"/>
        <w:jc w:val="center"/>
      </w:pPr>
      <w:r>
        <w:t>ФЕДЕРАЦИИ НА 2026 - 2030 ГОДЫ</w:t>
      </w:r>
    </w:p>
    <w:p w:rsidR="008D67C0" w:rsidRDefault="008D67C0">
      <w:pPr>
        <w:pStyle w:val="ConsPlusNormal"/>
        <w:jc w:val="center"/>
      </w:pPr>
    </w:p>
    <w:p w:rsidR="008D67C0" w:rsidRDefault="008D67C0">
      <w:pPr>
        <w:pStyle w:val="ConsPlusTitle"/>
        <w:jc w:val="center"/>
        <w:outlineLvl w:val="1"/>
      </w:pPr>
      <w:r>
        <w:t>I. Оценка реализации государственной политики</w:t>
      </w:r>
    </w:p>
    <w:p w:rsidR="008D67C0" w:rsidRDefault="008D67C0">
      <w:pPr>
        <w:pStyle w:val="ConsPlusTitle"/>
        <w:jc w:val="center"/>
      </w:pPr>
      <w:r>
        <w:t>по развитию конкуренции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ind w:firstLine="540"/>
        <w:jc w:val="both"/>
      </w:pPr>
      <w:hyperlink r:id="rId5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 определены 7 национальных целей развития Российской Федерации: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сохранение населения, укрепление здоровья и повышение благополучия людей, поддержка семьи;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реализация потенциала каждого человека, развитие его талантов, воспитание патриотичной и социально ответственной личности;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комфортная и безопасная среда для жизни;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экологическое благополучие;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устойчивая и динамичная экономика;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lastRenderedPageBreak/>
        <w:t>технологическое лидерство;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цифровая трансформация государственного и муниципального управления, экономики и социальной сферы.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Достижение указанных национальных целей развития Российской Федерации является многоаспектной задачей, решение которой в значительной степени зависит от эффективности проведения государственной политики по широкому спектру направлений - от макроэкономической политики, создания благоприятного инвестиционного климата, включая развитие финансовой и налоговой системы, снижения административных и инфраструктурных барьеров до защиты прав граждан и региональной политики.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Конкурентная политика представляет собой комплекс последовательных мер, осуществляемых государством в целях обеспечения условий для конкуренции хозяйствующих субъектов, повышения эффективности и конкурентоспособности российской экономики, модернизации предприятий и создания условий для обеспечения экономически эффективным способом потребностей граждан в товарах и услугах.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Основными целями </w:t>
      </w:r>
      <w:hyperlink r:id="rId6">
        <w:r>
          <w:rPr>
            <w:color w:val="0000FF"/>
          </w:rPr>
          <w:t>Указа</w:t>
        </w:r>
      </w:hyperlink>
      <w:r>
        <w:t xml:space="preserve"> Президента Российской Федерации от 21 декабря 2017 г. N 618 "Об основных направлениях государственной политики по развитию конкуренции" являются повышение удовлетворенности потребителей, рост экономической эффективности и конкурентоспособности хозяйствующих субъектов, стабильные развитие и рост многоукладной экономики государства.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В целях реализации положений </w:t>
      </w:r>
      <w:hyperlink r:id="rId7">
        <w:r>
          <w:rPr>
            <w:color w:val="0000FF"/>
          </w:rPr>
          <w:t>Указа</w:t>
        </w:r>
      </w:hyperlink>
      <w:r>
        <w:t xml:space="preserve"> Президента Российской Федерации от 21 декабря 2017 г. N 618 "Об основных направлениях государственной политики по развитию конкуренции" принято распоряжение Правительства Российской Федерации от 2 сентября 2021 г. N 2424-р, утвердившее Национальный </w:t>
      </w:r>
      <w:hyperlink r:id="rId8">
        <w:r>
          <w:rPr>
            <w:color w:val="0000FF"/>
          </w:rPr>
          <w:t>план</w:t>
        </w:r>
      </w:hyperlink>
      <w:r>
        <w:t xml:space="preserve"> ("дорожную карту") развития конкуренции в Российской Федерации на 2021 - 2025 годы (далее - национальный план на 2021 - 2025 годы).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Национальным </w:t>
      </w:r>
      <w:hyperlink r:id="rId9">
        <w:r>
          <w:rPr>
            <w:color w:val="0000FF"/>
          </w:rPr>
          <w:t>планом</w:t>
        </w:r>
      </w:hyperlink>
      <w:r>
        <w:t xml:space="preserve"> на 2021 - 2025 годы предусмотрено 49 системных и отраслевых мероприятий (включая разработку федеральных законов и нормативных актов Правительства Российской Федерации), в исполнении которых задействованы 23 федеральных органа исполнительной власти.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Кроме того, национальным </w:t>
      </w:r>
      <w:hyperlink r:id="rId10">
        <w:r>
          <w:rPr>
            <w:color w:val="0000FF"/>
          </w:rPr>
          <w:t>планом</w:t>
        </w:r>
      </w:hyperlink>
      <w:r>
        <w:t xml:space="preserve"> на 2021 - 2025 годы предусмотрено достижение 52 ожидаемых результатов в 15 отраслях экономики.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В соответствии с национальным </w:t>
      </w:r>
      <w:hyperlink r:id="rId11">
        <w:r>
          <w:rPr>
            <w:color w:val="0000FF"/>
          </w:rPr>
          <w:t>планом</w:t>
        </w:r>
      </w:hyperlink>
      <w:r>
        <w:t xml:space="preserve"> на 2021 - 2025 годы к 2025 году необходимо было обеспечить: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lastRenderedPageBreak/>
        <w:t>снижение доли организаций с государственным и муниципальным участием в 15 отраслях (сферах);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повышение численности занятых в сфере малого и среднего предпринимательства, включая индивидуальных предпринимателей, до не менее чем 25 млн. человек;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снижение доли закупок у единственного поставщика, осуществляемых акционерными обществами с государственным участием.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В 2025 году завершается реализация национального </w:t>
      </w:r>
      <w:hyperlink r:id="rId12">
        <w:r>
          <w:rPr>
            <w:color w:val="0000FF"/>
          </w:rPr>
          <w:t>плана</w:t>
        </w:r>
      </w:hyperlink>
      <w:r>
        <w:t xml:space="preserve"> на 2021 - 2025 годы.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В настоящее время обеспечено выполнение следующих мероприятий: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всеми субъектами Российской Федерации, за исключением новых регионов, утверждены "дорожные карты" по содействию развитию конкуренции;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распоряжением Правительства Российской Федерации от 23 декабря 2022 г. N 4140-р утвержден </w:t>
      </w:r>
      <w:hyperlink r:id="rId13">
        <w:r>
          <w:rPr>
            <w:color w:val="0000FF"/>
          </w:rPr>
          <w:t>план</w:t>
        </w:r>
      </w:hyperlink>
      <w:r>
        <w:t xml:space="preserve"> мероприятий ("дорожная карта") развития организованной (биржевой) торговли на отдельных товарных рынках на 2023 - 2025 годы;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распоряжением Правительства Российской Федерации от 27 сентября 2021 г. N 2689-р утверждена </w:t>
      </w:r>
      <w:hyperlink r:id="rId14">
        <w:r>
          <w:rPr>
            <w:color w:val="0000FF"/>
          </w:rPr>
          <w:t>Концепция</w:t>
        </w:r>
      </w:hyperlink>
      <w:r>
        <w:t xml:space="preserve"> развития оптовых продовольственных рынков в Российской Федерации;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определен состав имущества, не используемого для реализации функций и полномочий органов государственной власти субъектов Российской Федерации и органов местного самоуправления;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подготовлены и направлены в Правительство Российской Федерации предложения по результатам анализа отраслевых документов стратегического планирования (оценка достаточности мер по развитию конкуренции);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обеспечена деятельность Международного центра конкурентного права и политики БРИКС в 2023 - 2025 годах.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В сфере здравоохранения проведена работа по определению взаимозаменяемости для 70,45 процента лекарственных препаратов для медицинского применения, что позволило обеспечить российских потребителей лекарственными средствами в достаточном количестве по доступным ценам.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В сфере образования в 76 субъектах Российской Федерации </w:t>
      </w:r>
      <w:r>
        <w:lastRenderedPageBreak/>
        <w:t>функционируют частные образовательные организации, реализующие образовательные программы дошкольного образования, и в 75 регионах - частные образовательные организации, реализующие основные общеобразовательные программы.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В 2024 году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 государственном (муниципальном) социальном заказе на оказание государственных (муниципальных) услуг в социальной сфере" в субъектах Российской Федерации продолжалась работа по персонифицированному финансированию в системе дополнительного образования детей с применением социального сертификата на реализацию дополнительных общеразвивающих программ. Одним из основных принципов системы персонифицированного финансирования дополнительного образования детей является обеспечение равного доступа к бюджетному финансированию организаций, осуществляющих образовательную деятельность по дополнительным общеобразовательным программам, вне зависимости от их организационно-правовой формы.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Социальный сертификат предоставляет возможность детям (не менее 25 процентов детей, с 2025 года - не менее 30 процентов детей), проживающим в субъекте Российской Федерации, обучаться минимум по одной общеразвивающей программе или частично оплачивать обучение в случае, если его стоимость превышает утвержденный норматив. Кроме того, дети могут посещать организации дополнительного образования, которые финансируются за счет государственного (муниципального) задания в субъектах Российской Федерации. Указанные виды услуг для детей бесплатны. По итогам 2024 года в субъектах Российской Федерации, внедривших систему персонифицированного финансирования дополнительного образования детей, выдано более 13,2 млн. сертификатов дополнительного образования (охват составляет 57,2 процента общего числа детей в возрасте от 5 до 18 лет, проживающих в Российской Федерации).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В электроэнергетике законодательно определен с 1 января 2023 г. переход к установлению цен (тарифов) на услуги по передаче электрической энергии только в форме долгосрочных цен (тарифов) со сроком действия не менее 5 лет и возможностью заключения сетевыми организациями и субъектами Российской Федерации регуляторных соглашений в порядке и на условиях, которые определяются Правительством Российской Федерации, а также приняты меры по внедрению механизма дифференцированных тарифов для населения по объемам потребления в субъектах Российской Федерации.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Также проведена работа по совершенствованию механизма антимонопольного контроля на оптовом рынке электрической энергии и мощности посредством принятия методики экономически обоснованных затрат ценовых заявок генераторов.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lastRenderedPageBreak/>
        <w:t>В сфере связи утверждены методические рекомендации по установлению цен (тарифов) на услуги по предоставлению доступа к инфраструктуре для размещения сетей электросвязи, которые отражают практику рассмотрения антимонопольных дел и направлены на обеспечение формирования экономически обоснованных цен на размещение сетей связи на объектах инфраструктуры (линейно-кабельные сооружения, опоры) и предотвращение нарушения антимонопольного законодательства.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Прекращено взимание операторами сотовой связи платы за предоставление возможности распределения интернет-трафика с мобильных устройств (</w:t>
      </w:r>
      <w:proofErr w:type="spellStart"/>
      <w:r>
        <w:t>тетеринг</w:t>
      </w:r>
      <w:proofErr w:type="spellEnd"/>
      <w:r>
        <w:t>). Обеспечена возможность существенного снижения (прекращения взимания) платы за роуминг для абонентов в Республике Крым. Также компанией - оператором связи добровольно принято решение о прекращении взимания дополнительной платы за роуминг для абонентов в Республике Крым, которые приезжают в другие субъекты Российской Федерации.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Таким образом, принятые на федеральном и региональном уровнях, в том числе в рамках реализации "дорожных карт" по развитию конкуренции, меры, направленные на поддержку и защиту бизнеса в целях стимулирования экономического роста на внутренних рынках и повышения объема инвестиций, обеспечили восстановление экономики Российской Федерации и высокую динамику ее развития. При этом вопросы антимонопольного регулирования и поддержания конкурентной среды в изменяющихся социально-экономических условиях, в том числе в условиях цифровой трансформации экономики, сохраняют свою актуальность.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Настоящий национальный план определяет конкретные мероприятия для достижения целей, определенных </w:t>
      </w:r>
      <w:hyperlink r:id="rId16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года".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Title"/>
        <w:jc w:val="center"/>
        <w:outlineLvl w:val="1"/>
      </w:pPr>
      <w:r>
        <w:t>II. Задачи и ключевые показатели развития конкуренции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ind w:firstLine="540"/>
        <w:jc w:val="both"/>
      </w:pPr>
      <w:r>
        <w:t>Задачи настоящего национального плана определяются целями обеспечения экономического роста и необходимостью преодоления барьеров, сдерживающих развитие российской экономики, и включают в себя: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повышение экономической эффективности и конкурентоспособности хозяйствующих субъектов, развитие малого и среднего предпринимательства;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улучшение условий функционирования товарных рынков, в том числе за счет снижения барьеров для поставщиков и потребителей товаров, работ и услуг, упрощения доступа к информации, необходимой для осуществления предпринимательской деятельности;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lastRenderedPageBreak/>
        <w:t>повышение инновационной активности хозяйствующих субъектов, развитие рынков высокотехнологичной продукции;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обеспечение системного планирования и реализации мероприятий по развитию конкуренции на основе мониторинга состояния конкуренции на товарных рынках;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расширение мер стимулирования добросовестного поведения участников экономических отношений;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обеспечение эффективного и прозрачного управления государственной и муниципальной собственностью;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поддержание конкуренции на торгах и стабильности функционирования системы государственных закупок, а также контроль за обеспечением равного доступа к государственным и муниципальным ресурсам;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создание благоприятной конкурентной среды на финансовом рынке;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расширение и повышение эффективности международного сотрудничества, направленного на обеспечение защиты и развития конкуренции.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В целях контроля выполнения поставленных задач и достижения целей совершенствования государственной политики по развитию конкуренции устанавливаются следующие ключевые показатели развития конкуренции &lt;*&gt;: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&lt;*&gt; Методика расчета ключевых показателей утверждается федеральным антимонопольным органом.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ind w:firstLine="540"/>
        <w:jc w:val="both"/>
      </w:pPr>
      <w:r>
        <w:t xml:space="preserve">рост совокупной удовлетворенности участников рынка (в сферах экономики, указанных в </w:t>
      </w:r>
      <w:hyperlink w:anchor="P96">
        <w:r>
          <w:rPr>
            <w:color w:val="0000FF"/>
          </w:rPr>
          <w:t>разделе III</w:t>
        </w:r>
      </w:hyperlink>
      <w:r>
        <w:t>) - не менее 12 процентов к 2030 году;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>рост показателя деловой активности организаций к 2030 году - значение показателя, превышающее значение аналогичного показателя в 2025 году;</w:t>
      </w:r>
    </w:p>
    <w:p w:rsidR="008D67C0" w:rsidRDefault="008D67C0">
      <w:pPr>
        <w:pStyle w:val="ConsPlusNormal"/>
        <w:spacing w:before="280"/>
        <w:ind w:firstLine="540"/>
        <w:jc w:val="both"/>
      </w:pPr>
      <w:r>
        <w:t xml:space="preserve">количество жалоб на закупки в рамках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"О закупках товаров, работ, услуг отдельными видами юридических лиц", поданных в электронной форме (за исключением закупок, размещение которых не предусмотрено на официальном сайте единой информационной системы в сфере закупок товаров, работ, услуг для обеспечения государственных и муниципальных нужд), - к 2030 году в объеме 100 процентов.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Title"/>
        <w:jc w:val="center"/>
        <w:outlineLvl w:val="1"/>
      </w:pPr>
      <w:bookmarkStart w:id="1" w:name="P96"/>
      <w:bookmarkEnd w:id="1"/>
      <w:r>
        <w:lastRenderedPageBreak/>
        <w:t>III. Мероприятия национального плана</w:t>
      </w:r>
    </w:p>
    <w:p w:rsidR="008D67C0" w:rsidRDefault="008D67C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3370"/>
        <w:gridCol w:w="1686"/>
        <w:gridCol w:w="1179"/>
        <w:gridCol w:w="2325"/>
      </w:tblGrid>
      <w:tr w:rsidR="008D67C0"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D67C0" w:rsidRDefault="008D67C0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:rsidR="008D67C0" w:rsidRDefault="008D67C0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8D67C0" w:rsidRDefault="008D67C0">
            <w:pPr>
              <w:pStyle w:val="ConsPlusNormal"/>
              <w:jc w:val="center"/>
            </w:pPr>
            <w:r>
              <w:t xml:space="preserve">Срок исполнения </w:t>
            </w:r>
            <w:hyperlink w:anchor="P35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I. Общеотраслевые мероприятия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Организация проведения ежегодных комплексных мероприятий, направленных на выявление и пресечение картелей и иных ограничивающих конкуренцию соглашений в сфере реализации национальных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ежегодно, не позднее 15 марта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Установление превентивных механизмов воздействия в целях пресечения действий (бездействия), которые содержат признаки нарушения правил (порядка обеспечения) недискриминационного доступа, порядка подключения (технологического присоединения)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июля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Разработка и утверждение плана работы по созданию биржи БРИКС в целях развития взаимной биржевой торговли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июля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Минсельхоз России,</w:t>
            </w:r>
          </w:p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Минпромторг России при участии Банка России и заинтересованных организаций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Внедрение федеральной государственной информационной системы "Единая информационно-аналитическая система тарифного регулирования" в работу исполнительных органов субъектов Российской Федерации, уполномоченных на осуществление государственного регулирования и контроля (надзора) за соблюдением законодательства Российской Федерации в сфере государственного регулирования цен (тарифов) на товары (услуги)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Определение единых подходов тарифного регулирования, в том числе единого порядка автоматизации функций (процессов) в области государственного регулирования цен (тарифов), в том числе в части установления, применения, изменения, отмены, наблюдения за соблюдением обязательных требований в области государственного регулирования цен (тарифов), раскрытия информации, осуществления государственного контроля (надзора) в сферах регулируемой </w:t>
            </w:r>
            <w:r>
              <w:lastRenderedPageBreak/>
              <w:t>деятельности, взаимодействия федерального органа регулирования, исполнительных органов субъектов Российской Федерации и регулируемых субъектов посредством федеральной государственной информационной системы "Единая информационно-аналитическая система тарифного регулирования"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25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Развитие и расширение направлений сотрудничества с антимонопольными органами стран БРИКС и государств - членов Шанхайской организации сотрудничества с целью обмена опытом и выработки согласованных подходов в сфере антимонопольного регулирования и поддержания эффективной конкуренции, в том числе на социально значимых рынках, в целях повышения эффективности реализуемой в Российской Федерации конкурентной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ежегодно, не позднее 10 декабря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Подготовка предложений по формированию единой интерактивной карты рекламных конструкций, содержащей сведения о местах размещения рекламных конструкций, </w:t>
            </w:r>
            <w:r>
              <w:lastRenderedPageBreak/>
              <w:t>об их типах, о видах, реквизитах и сроках действия разрешений на установку и эксплуатацию рекламных конструкций, а также о хозяйствующих субъектах, которым выданы такие разрешения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25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proofErr w:type="spellStart"/>
            <w:r>
              <w:t>Минцифры</w:t>
            </w:r>
            <w:proofErr w:type="spellEnd"/>
            <w:r>
              <w:t xml:space="preserve">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Актуализация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15 февраля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Внедрение государственной информационной системы по предупреждению, выявлению и пресечению ограничивающих конкуренцию соглашений в работу антимонопольных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31 января 2029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II. Сфера агропромышленного комплекса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Оценка возможности реализации пилотного проекта по продаже на организованных торгах продукции из водных биологических ресурсов в целях апробации механизма организованных торгов применительно к такому виду продукции, включающего в себя в том числе установление </w:t>
            </w:r>
            <w:r>
              <w:lastRenderedPageBreak/>
              <w:t>минимального объема товаров, реализуемых и приобретаемых на организованных торгах, применение цифровых логистических платформенных решений для доставки рыбной продукции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29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Минсельхоз России,</w:t>
            </w:r>
          </w:p>
          <w:p w:rsidR="008D67C0" w:rsidRDefault="008D67C0">
            <w:pPr>
              <w:pStyle w:val="ConsPlusNormal"/>
            </w:pPr>
            <w:r>
              <w:t>Минпромторг России,</w:t>
            </w:r>
          </w:p>
          <w:p w:rsidR="008D67C0" w:rsidRDefault="008D67C0">
            <w:pPr>
              <w:pStyle w:val="ConsPlusNormal"/>
            </w:pPr>
            <w:r>
              <w:t>Росрыболовство при участии Банка России и заинтересованных организаций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Обеспечение создания и функционирования цифрового сервиса по подбору земельных участков для осуществления сельскохозяйственной деятельности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 июля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Минсельхоз России,</w:t>
            </w:r>
          </w:p>
          <w:p w:rsidR="008D67C0" w:rsidRDefault="008D67C0">
            <w:pPr>
              <w:pStyle w:val="ConsPlusNormal"/>
            </w:pPr>
            <w:proofErr w:type="spellStart"/>
            <w:r>
              <w:t>Минцифры</w:t>
            </w:r>
            <w:proofErr w:type="spellEnd"/>
            <w:r>
              <w:t xml:space="preserve">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Росреестр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III. Сфера информационных технологий и телекоммуникации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Обеспечение распространения запретов на осуществление монополистической деятельности на информационную систему, и (или) сайт в информационно-телекоммуникационной сети "Интернет", и (или) программы для электронных вычислительных машин, которые обеспечивают технические, организационные, информационные и иные возможности для взаимодействия неограниченного круга лиц, в том числе в целях обмена информацией и ее распространения, продажи товаров, выполнения </w:t>
            </w:r>
            <w:r>
              <w:lastRenderedPageBreak/>
              <w:t>работ, оказания услуг, за исключением цифровых платформ, обеспечивающих совершение сделок между продавцами и покупателями определенных товаров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24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Распространение возможности принудительного разделения или выделения коммерческих организаций, а также некоммерческих организаций, осуществляющих деятельность, приносящую им доход в случае систематического осуществления монополистической деятельности, на цифровые платформы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24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созданию и функционированию единого государственного информационного портала, содержащего сведения о спросе и предложениях по инновационной, высокотехнологичной продукции и технологиям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9 декабря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proofErr w:type="spellStart"/>
            <w:r>
              <w:t>Минцифры</w:t>
            </w:r>
            <w:proofErr w:type="spellEnd"/>
            <w:r>
              <w:t xml:space="preserve">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IV. Сфера финансовых рынков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Обеспечение конкурентного доступа кредитных организаций к программам субсидирования путем возмещения выпадающих </w:t>
            </w:r>
            <w:r>
              <w:lastRenderedPageBreak/>
              <w:t>доходов по кредитам, выданным по льготным процентным ставкам (на основе заявительного характера)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4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ФАС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Обеспечение недискриминационных процентных ставок по текущим счетам и срочным вкладам пенсионеров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8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ФАС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Включение представителей Банка России в состав комиссий по рассмотрению дел о нарушениях антимонопольного законодательства в отношении субъектов национальной платежной системы, а также поднадзорных Банку России хозяйствующих субъектов, не являющихся финансовыми организациями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Актуализация перечня финансовых организаций, поднадзорных Банку России, в целях осуществления антимонопольного контроля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Подготовка предложений об установлении компетенции Банка России на согласование условий и порядка признания доминирующим положения в отношении субъектов национальной </w:t>
            </w:r>
            <w:r>
              <w:lastRenderedPageBreak/>
              <w:t>платежной системы, а также поднадзорных Банку России хозяйствующих субъектов, не являющихся финансовыми организациями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25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усилению ответственности финансовых организаций за нарушение требований законодательства о рекламе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31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усилению ответственности финансовых организаций за нарушение требований антимонопольного законодательства, а также совершенствование механизма выдачи предупреждений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6 декабря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установлению возможности признания коллективного доминирования финансовых организаций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8 декабря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созданию специального механизма конкурентного распределения невостребованных денежных средств физических лиц на текущих счетах и срочных вкладах в кредитных организациях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31 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Анализ нарушения </w:t>
            </w:r>
            <w:r>
              <w:lastRenderedPageBreak/>
              <w:t>требований законодательства при рекламировании финансовых услуг, осуществляемом физическими лицами - лидерами общественного мнения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 xml:space="preserve">доклад в </w:t>
            </w:r>
            <w:r>
              <w:lastRenderedPageBreak/>
              <w:t>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lastRenderedPageBreak/>
              <w:t xml:space="preserve">31 </w:t>
            </w:r>
            <w:r>
              <w:lastRenderedPageBreak/>
              <w:t>января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ФАС России,</w:t>
            </w:r>
          </w:p>
          <w:p w:rsidR="008D67C0" w:rsidRDefault="008D67C0">
            <w:pPr>
              <w:pStyle w:val="ConsPlusNormal"/>
            </w:pPr>
            <w:proofErr w:type="spellStart"/>
            <w:r>
              <w:lastRenderedPageBreak/>
              <w:t>Минцифры</w:t>
            </w:r>
            <w:proofErr w:type="spellEnd"/>
            <w:r>
              <w:t xml:space="preserve">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Исключение преимущественного доступа отдельных кредитных организаций к возможности открытия специальных избирательных счетов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4 декабря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 при участии Банка России,</w:t>
            </w:r>
          </w:p>
          <w:p w:rsidR="008D67C0" w:rsidRDefault="008D67C0">
            <w:pPr>
              <w:pStyle w:val="ConsPlusNormal"/>
            </w:pPr>
            <w:r>
              <w:t>Центральной избирательной комиссии Российской Федерации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исключению преимущественного доступа отдельных кредитных организаций к услугам по перечислению гражданам ряда социальных выплат, для которых установлен специальный порядок их осуществления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6 декабря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совершенствованию процедур погашения ранее предоставленного кредита и оформления залога по новому кредиту в целях снижения затрат заемщиков в рамках рефинансирования ипотечных кредитов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4 декабря 2028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r>
              <w:t>Росреестр при участии Банка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V. Сфера здравоохранения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Обеспечение стимулирования </w:t>
            </w:r>
            <w:r>
              <w:lastRenderedPageBreak/>
              <w:t xml:space="preserve">заказчиков, осуществляющих закупки в рамках Федерального </w:t>
            </w:r>
            <w:hyperlink r:id="rId18">
              <w:r>
                <w:rPr>
                  <w:color w:val="0000FF"/>
                </w:rPr>
                <w:t>закона</w:t>
              </w:r>
            </w:hyperlink>
            <w:r>
              <w:t xml:space="preserve"> "О закупках товаров, работ, услуг отдельными видами юридических лиц", при закупке медицинских изделий в описании предмета закупки использовать технические и функциональные характеристики товара в соответствии с каталогом товаров, работ, услуг для обеспечения государственных и муниципальных нужд (при наличии)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доклад в Правительст</w:t>
            </w:r>
            <w:r>
              <w:lastRenderedPageBreak/>
              <w:t>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lastRenderedPageBreak/>
              <w:t>1 марта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lastRenderedPageBreak/>
              <w:t>Минздрав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lastRenderedPageBreak/>
              <w:t>VI. Сфера транспорта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Подготовка предложений по обеспечению совершенствования нормативных правовых актов, регулирующих деятельность в сфере транспорта, в целях создания равных условий деятельности для организаций частной формы собственности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7 декабря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Минтранс России,</w:t>
            </w:r>
          </w:p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VII. Сфера промышленности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Подготовка предложений по обеспечению равного доступа как дилеров, так и независимых станций технического обслуживания к актуальной информации, необходимой для ремонта и обслуживания транспортных средств </w:t>
            </w:r>
            <w:r>
              <w:lastRenderedPageBreak/>
              <w:t>путем разработки соответствующего механизма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 xml:space="preserve">1 октября 2026 г., далее - ежегодно до вступления в действие </w:t>
            </w:r>
            <w:r>
              <w:lastRenderedPageBreak/>
              <w:t>соответствующего механизма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Минпромторг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Проработка комплекса мер, направленных на недискриминационный доступ потребителей к автотранспортным средствам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 с проектом нормативного правового акта (при необходимости)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октября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Минпромторг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Роспотребнадзор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Обеспечение развития прямых (онлайн) продаж автотранспортных средств населению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9 ноября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Минпромторг России,</w:t>
            </w:r>
          </w:p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VIII. Сфера торговли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Анализ практики размещения объектов нестационарной торговли в целях рассмотрения вопроса о необходимости внесения изменений в законодательство Российской Федерации и подготовки предложений по развитию конкуренции в указанной сфере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18 января 2027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Минпромторг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IX. Сфера туризма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Подготовка предложений по созданию и обеспечению функционирования единого информационного портала о туристическом </w:t>
            </w:r>
            <w:r>
              <w:lastRenderedPageBreak/>
              <w:t>потенциале субъектов Российской Федерации, об инфраструктуре и организациях, оказывающих туристические услуги, независимо от формы собственности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 xml:space="preserve">доклад в Правительство Российской Федерации с проектом </w:t>
            </w:r>
            <w:r>
              <w:lastRenderedPageBreak/>
              <w:t>нормативного правового акта (при необходимости)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lastRenderedPageBreak/>
              <w:t>25 ноября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proofErr w:type="spellStart"/>
            <w:r>
              <w:t>Минцифры</w:t>
            </w:r>
            <w:proofErr w:type="spellEnd"/>
            <w:r>
              <w:t xml:space="preserve">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Организация обмена лучшими практиками по развитию туризма в субъектах Российской Федерации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ежегодно, не позднее 25 ноября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Минэкономразвития России,</w:t>
            </w:r>
          </w:p>
          <w:p w:rsidR="008D67C0" w:rsidRDefault="008D67C0">
            <w:pPr>
              <w:pStyle w:val="ConsPlusNormal"/>
            </w:pPr>
            <w:r>
              <w:t>ФАС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Организация и проведение обучающих мероприятий для органов власти и местного самоуправления в сфере оказания туристических услуг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ежегодно, не позднее 25 ноября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Минэкономразвития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  <w:outlineLvl w:val="2"/>
            </w:pPr>
            <w:r>
              <w:t>X. Сфера закупок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Обеспечение размещения информации о закупках у взаимозависимых лиц в единой информационной системе в сфере закупок товаров, работ, услуг для обеспечения государственных и муниципальных нужд в целях анализа прозрачности проведения закупочных процедур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доклад в Правительство Российской Федерации с проектом концепции федерального закона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1 июля 2026 г.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Казначейство России</w:t>
            </w:r>
          </w:p>
        </w:tc>
      </w:tr>
      <w:tr w:rsidR="008D67C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7C0" w:rsidRDefault="008D67C0">
            <w:pPr>
              <w:pStyle w:val="ConsPlusNormal"/>
            </w:pPr>
            <w:r>
              <w:t xml:space="preserve">Введение механизма электронного обжалования закупок, осуществляемых отдельными видами юридических лиц, включая блокирование заключения договора на период рассмотрения </w:t>
            </w:r>
            <w:r>
              <w:lastRenderedPageBreak/>
              <w:t>жалобы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7C0" w:rsidRDefault="008D67C0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7C0" w:rsidRDefault="008D67C0">
            <w:pPr>
              <w:pStyle w:val="ConsPlusNormal"/>
              <w:jc w:val="center"/>
            </w:pPr>
            <w:r>
              <w:t>3 июля 2028 г.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7C0" w:rsidRDefault="008D67C0">
            <w:pPr>
              <w:pStyle w:val="ConsPlusNormal"/>
            </w:pPr>
            <w:r>
              <w:t>ФАС России,</w:t>
            </w:r>
          </w:p>
          <w:p w:rsidR="008D67C0" w:rsidRDefault="008D67C0">
            <w:pPr>
              <w:pStyle w:val="ConsPlusNormal"/>
            </w:pPr>
            <w:r>
              <w:t>Минфин России,</w:t>
            </w:r>
          </w:p>
          <w:p w:rsidR="008D67C0" w:rsidRDefault="008D67C0">
            <w:pPr>
              <w:pStyle w:val="ConsPlusNormal"/>
            </w:pPr>
            <w:r>
              <w:t>Казначейство России</w:t>
            </w:r>
          </w:p>
        </w:tc>
      </w:tr>
    </w:tbl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ind w:firstLine="540"/>
        <w:jc w:val="both"/>
      </w:pPr>
      <w:r>
        <w:t>--------------------------------</w:t>
      </w:r>
    </w:p>
    <w:p w:rsidR="008D67C0" w:rsidRDefault="008D67C0">
      <w:pPr>
        <w:pStyle w:val="ConsPlusNormal"/>
        <w:spacing w:before="280"/>
        <w:ind w:firstLine="540"/>
        <w:jc w:val="both"/>
      </w:pPr>
      <w:bookmarkStart w:id="2" w:name="P353"/>
      <w:bookmarkEnd w:id="2"/>
      <w:r>
        <w:t>&lt;*&gt; Для федеральных законов и актов Правительства Российской Федерации - срок внесения в Правительство Российской Федерации соответствующего проекта, для иных видов документов - срок их представления в Правительство Российской Федерации.</w:t>
      </w: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ind w:firstLine="540"/>
        <w:jc w:val="both"/>
      </w:pPr>
    </w:p>
    <w:p w:rsidR="008D67C0" w:rsidRDefault="008D67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036F" w:rsidRDefault="007C036F">
      <w:bookmarkStart w:id="3" w:name="_GoBack"/>
      <w:bookmarkEnd w:id="3"/>
    </w:p>
    <w:sectPr w:rsidR="007C036F" w:rsidSect="00EA3EC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C0"/>
    <w:rsid w:val="000C67DA"/>
    <w:rsid w:val="007C036F"/>
    <w:rsid w:val="008706FE"/>
    <w:rsid w:val="008D67C0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D3305-27F3-4F4B-931B-EC50246D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67C0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8D67C0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8D67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2117&amp;dst=100026" TargetMode="External"/><Relationship Id="rId13" Type="http://schemas.openxmlformats.org/officeDocument/2006/relationships/hyperlink" Target="https://login.consultant.ru/link/?req=doc&amp;base=RZR&amp;n=480439&amp;dst=100013" TargetMode="External"/><Relationship Id="rId18" Type="http://schemas.openxmlformats.org/officeDocument/2006/relationships/hyperlink" Target="https://login.consultant.ru/link/?req=doc&amp;base=RZR&amp;n=48305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285796" TargetMode="External"/><Relationship Id="rId12" Type="http://schemas.openxmlformats.org/officeDocument/2006/relationships/hyperlink" Target="https://login.consultant.ru/link/?req=doc&amp;base=RZR&amp;n=502117&amp;dst=100026" TargetMode="External"/><Relationship Id="rId17" Type="http://schemas.openxmlformats.org/officeDocument/2006/relationships/hyperlink" Target="https://login.consultant.ru/link/?req=doc&amp;base=RZR&amp;n=4830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7599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285796" TargetMode="External"/><Relationship Id="rId11" Type="http://schemas.openxmlformats.org/officeDocument/2006/relationships/hyperlink" Target="https://login.consultant.ru/link/?req=doc&amp;base=RZR&amp;n=502117&amp;dst=100026" TargetMode="External"/><Relationship Id="rId5" Type="http://schemas.openxmlformats.org/officeDocument/2006/relationships/hyperlink" Target="https://login.consultant.ru/link/?req=doc&amp;base=RZR&amp;n=475991&amp;dst=100007" TargetMode="External"/><Relationship Id="rId15" Type="http://schemas.openxmlformats.org/officeDocument/2006/relationships/hyperlink" Target="https://login.consultant.ru/link/?req=doc&amp;base=RZR&amp;n=508560" TargetMode="External"/><Relationship Id="rId10" Type="http://schemas.openxmlformats.org/officeDocument/2006/relationships/hyperlink" Target="https://login.consultant.ru/link/?req=doc&amp;base=RZR&amp;n=502117&amp;dst=10002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02117&amp;dst=100026" TargetMode="External"/><Relationship Id="rId14" Type="http://schemas.openxmlformats.org/officeDocument/2006/relationships/hyperlink" Target="https://login.consultant.ru/link/?req=doc&amp;base=RZR&amp;n=396521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4380</Words>
  <Characters>24968</Characters>
  <Application>Microsoft Office Word</Application>
  <DocSecurity>0</DocSecurity>
  <Lines>208</Lines>
  <Paragraphs>58</Paragraphs>
  <ScaleCrop>false</ScaleCrop>
  <Company/>
  <LinksUpToDate>false</LinksUpToDate>
  <CharactersWithSpaces>29290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2026-05-29T05:03:00Z</dcterms:created>
  <dcterms:modified xsi:type="dcterms:W3CDTF">2026-05-29T05:12:00Z</dcterms:modified>
</cp:coreProperties>
</file>