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к докладу главы муниципального округа – 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главы администрации Александровского муниципального округа 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Лавровой Ольги Эдуардовны о достигнутых значениях показателей 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для оценки эффективности деятельности органов местного </w:t>
      </w:r>
    </w:p>
    <w:p w:rsidR="00FD42BF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>самоуправления городских и муниципальных округов и муниципальных районов за отчетный 202</w:t>
      </w:r>
      <w:r w:rsidR="00FE2F74">
        <w:rPr>
          <w:rFonts w:ascii="Times New Roman" w:hAnsi="Times New Roman"/>
          <w:b/>
          <w:bCs/>
          <w:sz w:val="24"/>
          <w:szCs w:val="24"/>
        </w:rPr>
        <w:t>2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 год и их планируемых значениях на 3-летний период</w:t>
      </w:r>
    </w:p>
    <w:p w:rsidR="00A3191E" w:rsidRPr="0089069A" w:rsidRDefault="00A3191E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91E" w:rsidRP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191E">
        <w:rPr>
          <w:rFonts w:ascii="Times New Roman" w:hAnsi="Times New Roman"/>
          <w:i/>
          <w:sz w:val="24"/>
          <w:szCs w:val="24"/>
        </w:rPr>
        <w:t>Федеральная и региональная нормативная правовая основа формирования системы показателей для оценки эффективности деятельности органов местного самоуправления:</w:t>
      </w:r>
    </w:p>
    <w:p w:rsid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 xml:space="preserve">Указ Президента Российской Федерации от 28.04.2008 № 607 «Об оценке эффективности деятельности органов местного самоуправления </w:t>
      </w:r>
      <w:r w:rsidR="00322FE2">
        <w:rPr>
          <w:rFonts w:ascii="Times New Roman" w:hAnsi="Times New Roman"/>
          <w:sz w:val="24"/>
          <w:szCs w:val="24"/>
        </w:rPr>
        <w:t xml:space="preserve">муниципальных, </w:t>
      </w:r>
      <w:r w:rsidRPr="00A3191E">
        <w:rPr>
          <w:rFonts w:ascii="Times New Roman" w:hAnsi="Times New Roman"/>
          <w:sz w:val="24"/>
          <w:szCs w:val="24"/>
        </w:rPr>
        <w:t>городских округов и муниципальных районов»;</w:t>
      </w:r>
    </w:p>
    <w:p w:rsid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 xml:space="preserve">Постановление Правительства РФ от 17.12.2012 № 1317 (ред. от </w:t>
      </w:r>
      <w:r w:rsidR="00322FE2">
        <w:rPr>
          <w:rFonts w:ascii="Times New Roman" w:hAnsi="Times New Roman"/>
          <w:sz w:val="24"/>
          <w:szCs w:val="24"/>
        </w:rPr>
        <w:t>30</w:t>
      </w:r>
      <w:r w:rsidRPr="00A3191E">
        <w:rPr>
          <w:rFonts w:ascii="Times New Roman" w:hAnsi="Times New Roman"/>
          <w:sz w:val="24"/>
          <w:szCs w:val="24"/>
        </w:rPr>
        <w:t>.0</w:t>
      </w:r>
      <w:r w:rsidR="00322FE2">
        <w:rPr>
          <w:rFonts w:ascii="Times New Roman" w:hAnsi="Times New Roman"/>
          <w:sz w:val="24"/>
          <w:szCs w:val="24"/>
        </w:rPr>
        <w:t>6</w:t>
      </w:r>
      <w:r w:rsidRPr="00A3191E">
        <w:rPr>
          <w:rFonts w:ascii="Times New Roman" w:hAnsi="Times New Roman"/>
          <w:sz w:val="24"/>
          <w:szCs w:val="24"/>
        </w:rPr>
        <w:t>.20</w:t>
      </w:r>
      <w:r w:rsidR="00322FE2">
        <w:rPr>
          <w:rFonts w:ascii="Times New Roman" w:hAnsi="Times New Roman"/>
          <w:sz w:val="24"/>
          <w:szCs w:val="24"/>
        </w:rPr>
        <w:t>21</w:t>
      </w:r>
      <w:r w:rsidRPr="00A3191E">
        <w:rPr>
          <w:rFonts w:ascii="Times New Roman" w:hAnsi="Times New Roman"/>
          <w:sz w:val="24"/>
          <w:szCs w:val="24"/>
        </w:rPr>
        <w:t>) «О мерах по реализации Указа Президента Российской Федерации от 28</w:t>
      </w:r>
      <w:r w:rsidR="00322FE2">
        <w:rPr>
          <w:rFonts w:ascii="Times New Roman" w:hAnsi="Times New Roman"/>
          <w:sz w:val="24"/>
          <w:szCs w:val="24"/>
        </w:rPr>
        <w:t xml:space="preserve"> апреля </w:t>
      </w:r>
      <w:r w:rsidRPr="00A3191E">
        <w:rPr>
          <w:rFonts w:ascii="Times New Roman" w:hAnsi="Times New Roman"/>
          <w:sz w:val="24"/>
          <w:szCs w:val="24"/>
        </w:rPr>
        <w:t>2008</w:t>
      </w:r>
      <w:r w:rsidR="00322FE2">
        <w:rPr>
          <w:rFonts w:ascii="Times New Roman" w:hAnsi="Times New Roman"/>
          <w:sz w:val="24"/>
          <w:szCs w:val="24"/>
        </w:rPr>
        <w:t xml:space="preserve"> г. </w:t>
      </w:r>
      <w:r w:rsidRPr="00A3191E">
        <w:rPr>
          <w:rFonts w:ascii="Times New Roman" w:hAnsi="Times New Roman"/>
          <w:sz w:val="24"/>
          <w:szCs w:val="24"/>
        </w:rPr>
        <w:t xml:space="preserve"> № 607 «Об оценке эффективности деятельности органов местного самоуправления </w:t>
      </w:r>
      <w:r w:rsidR="00322FE2">
        <w:rPr>
          <w:rFonts w:ascii="Times New Roman" w:hAnsi="Times New Roman"/>
          <w:sz w:val="24"/>
          <w:szCs w:val="24"/>
        </w:rPr>
        <w:t xml:space="preserve">муниципальных, </w:t>
      </w:r>
      <w:r w:rsidRPr="00A3191E">
        <w:rPr>
          <w:rFonts w:ascii="Times New Roman" w:hAnsi="Times New Roman"/>
          <w:sz w:val="24"/>
          <w:szCs w:val="24"/>
        </w:rPr>
        <w:t>городских округов и муниципальных районов» и подпункта «и» пункта 2 Указа Президента Российской Федерации от 07</w:t>
      </w:r>
      <w:r w:rsidR="00322FE2">
        <w:rPr>
          <w:rFonts w:ascii="Times New Roman" w:hAnsi="Times New Roman"/>
          <w:sz w:val="24"/>
          <w:szCs w:val="24"/>
        </w:rPr>
        <w:t xml:space="preserve"> мая </w:t>
      </w:r>
      <w:r w:rsidRPr="00A3191E">
        <w:rPr>
          <w:rFonts w:ascii="Times New Roman" w:hAnsi="Times New Roman"/>
          <w:sz w:val="24"/>
          <w:szCs w:val="24"/>
        </w:rPr>
        <w:t xml:space="preserve">2012 </w:t>
      </w:r>
      <w:r w:rsidR="00322FE2">
        <w:rPr>
          <w:rFonts w:ascii="Times New Roman" w:hAnsi="Times New Roman"/>
          <w:sz w:val="24"/>
          <w:szCs w:val="24"/>
        </w:rPr>
        <w:t xml:space="preserve">г. </w:t>
      </w:r>
      <w:r w:rsidRPr="00A3191E">
        <w:rPr>
          <w:rFonts w:ascii="Times New Roman" w:hAnsi="Times New Roman"/>
          <w:sz w:val="24"/>
          <w:szCs w:val="24"/>
        </w:rPr>
        <w:t>№ 601 «Об основных направлениях совершенствования системы государственного управления»;</w:t>
      </w:r>
    </w:p>
    <w:p w:rsidR="00A3191E" w:rsidRP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 xml:space="preserve"> </w:t>
      </w:r>
      <w:r w:rsidR="00142309">
        <w:rPr>
          <w:rFonts w:ascii="Times New Roman" w:hAnsi="Times New Roman"/>
          <w:sz w:val="24"/>
          <w:szCs w:val="24"/>
        </w:rPr>
        <w:t>Постановление Правительства Пермского края от 09.09.2020 № 656-п (ред. от 16.03.2023)</w:t>
      </w:r>
      <w:r w:rsidRPr="00A3191E">
        <w:rPr>
          <w:rFonts w:ascii="Times New Roman" w:hAnsi="Times New Roman"/>
          <w:sz w:val="24"/>
          <w:szCs w:val="24"/>
        </w:rPr>
        <w:t xml:space="preserve"> «</w:t>
      </w:r>
      <w:r w:rsidR="00142309">
        <w:rPr>
          <w:rFonts w:ascii="Times New Roman" w:hAnsi="Times New Roman"/>
          <w:sz w:val="24"/>
          <w:szCs w:val="24"/>
        </w:rPr>
        <w:t>О мерах по реализации Указа Президента Российской Федерации от 28 апреля 2008 г. № 607 «</w:t>
      </w:r>
      <w:r w:rsidRPr="00A3191E">
        <w:rPr>
          <w:rFonts w:ascii="Times New Roman" w:hAnsi="Times New Roman"/>
          <w:sz w:val="24"/>
          <w:szCs w:val="24"/>
        </w:rPr>
        <w:t xml:space="preserve">Об оценке эффективности деятельности органов местного самоуправления </w:t>
      </w:r>
      <w:r w:rsidR="00142309">
        <w:rPr>
          <w:rFonts w:ascii="Times New Roman" w:hAnsi="Times New Roman"/>
          <w:sz w:val="24"/>
          <w:szCs w:val="24"/>
        </w:rPr>
        <w:t xml:space="preserve">муниципальных, </w:t>
      </w:r>
      <w:r w:rsidRPr="00A3191E">
        <w:rPr>
          <w:rFonts w:ascii="Times New Roman" w:hAnsi="Times New Roman"/>
          <w:sz w:val="24"/>
          <w:szCs w:val="24"/>
        </w:rPr>
        <w:t>городских округов и муниципальных районов».</w:t>
      </w:r>
    </w:p>
    <w:p w:rsidR="00A3191E" w:rsidRP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3191E">
        <w:rPr>
          <w:rFonts w:ascii="Times New Roman" w:hAnsi="Times New Roman"/>
          <w:i/>
          <w:sz w:val="24"/>
          <w:szCs w:val="24"/>
        </w:rPr>
        <w:t>Основные положения:</w:t>
      </w:r>
    </w:p>
    <w:p w:rsidR="00A3191E" w:rsidRP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>План показателей на период 202</w:t>
      </w:r>
      <w:r w:rsidR="00142309">
        <w:rPr>
          <w:rFonts w:ascii="Times New Roman" w:hAnsi="Times New Roman"/>
          <w:sz w:val="24"/>
          <w:szCs w:val="24"/>
        </w:rPr>
        <w:t>3</w:t>
      </w:r>
      <w:r w:rsidRPr="00A3191E">
        <w:rPr>
          <w:rFonts w:ascii="Times New Roman" w:hAnsi="Times New Roman"/>
          <w:sz w:val="24"/>
          <w:szCs w:val="24"/>
        </w:rPr>
        <w:t xml:space="preserve"> – 202</w:t>
      </w:r>
      <w:r w:rsidR="00142309">
        <w:rPr>
          <w:rFonts w:ascii="Times New Roman" w:hAnsi="Times New Roman"/>
          <w:sz w:val="24"/>
          <w:szCs w:val="24"/>
        </w:rPr>
        <w:t>5</w:t>
      </w:r>
      <w:r w:rsidRPr="00A3191E">
        <w:rPr>
          <w:rFonts w:ascii="Times New Roman" w:hAnsi="Times New Roman"/>
          <w:sz w:val="24"/>
          <w:szCs w:val="24"/>
        </w:rPr>
        <w:t xml:space="preserve">  годов сформирован на основе анализа тенденций экономического развития </w:t>
      </w:r>
      <w:r w:rsidR="00142309">
        <w:rPr>
          <w:rFonts w:ascii="Times New Roman" w:hAnsi="Times New Roman"/>
          <w:sz w:val="24"/>
          <w:szCs w:val="24"/>
        </w:rPr>
        <w:t>Александровского муниципального округа</w:t>
      </w:r>
      <w:r w:rsidRPr="00A3191E">
        <w:rPr>
          <w:rFonts w:ascii="Times New Roman" w:hAnsi="Times New Roman"/>
          <w:sz w:val="24"/>
          <w:szCs w:val="24"/>
        </w:rPr>
        <w:t xml:space="preserve"> в 20</w:t>
      </w:r>
      <w:r w:rsidR="00142309">
        <w:rPr>
          <w:rFonts w:ascii="Times New Roman" w:hAnsi="Times New Roman"/>
          <w:sz w:val="24"/>
          <w:szCs w:val="24"/>
        </w:rPr>
        <w:t>20</w:t>
      </w:r>
      <w:r w:rsidRPr="00A3191E">
        <w:rPr>
          <w:rFonts w:ascii="Times New Roman" w:hAnsi="Times New Roman"/>
          <w:sz w:val="24"/>
          <w:szCs w:val="24"/>
        </w:rPr>
        <w:t xml:space="preserve"> – 202</w:t>
      </w:r>
      <w:r w:rsidR="00142309">
        <w:rPr>
          <w:rFonts w:ascii="Times New Roman" w:hAnsi="Times New Roman"/>
          <w:sz w:val="24"/>
          <w:szCs w:val="24"/>
        </w:rPr>
        <w:t>2</w:t>
      </w:r>
      <w:r w:rsidRPr="00A3191E">
        <w:rPr>
          <w:rFonts w:ascii="Times New Roman" w:hAnsi="Times New Roman"/>
          <w:sz w:val="24"/>
          <w:szCs w:val="24"/>
        </w:rPr>
        <w:t xml:space="preserve"> годах, января – февраля 202</w:t>
      </w:r>
      <w:r w:rsidR="00142309">
        <w:rPr>
          <w:rFonts w:ascii="Times New Roman" w:hAnsi="Times New Roman"/>
          <w:sz w:val="24"/>
          <w:szCs w:val="24"/>
        </w:rPr>
        <w:t>3</w:t>
      </w:r>
      <w:r w:rsidRPr="00A3191E">
        <w:rPr>
          <w:rFonts w:ascii="Times New Roman" w:hAnsi="Times New Roman"/>
          <w:sz w:val="24"/>
          <w:szCs w:val="24"/>
        </w:rPr>
        <w:t xml:space="preserve"> года, а также прогноза внутренней экономической конъюнктуры.</w:t>
      </w:r>
    </w:p>
    <w:p w:rsidR="00A3191E" w:rsidRPr="00A3191E" w:rsidRDefault="00A3191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 xml:space="preserve">Расчет показателей произведен  на основе </w:t>
      </w:r>
      <w:r w:rsidR="00E65FBE">
        <w:rPr>
          <w:rFonts w:ascii="Times New Roman" w:hAnsi="Times New Roman"/>
          <w:sz w:val="24"/>
          <w:szCs w:val="24"/>
        </w:rPr>
        <w:t xml:space="preserve">Методических </w:t>
      </w:r>
      <w:r w:rsidRPr="00A3191E">
        <w:rPr>
          <w:rFonts w:ascii="Times New Roman" w:hAnsi="Times New Roman"/>
          <w:sz w:val="24"/>
          <w:szCs w:val="24"/>
        </w:rPr>
        <w:t xml:space="preserve">рекомендаций по подготовке Доклада, направленных министерством </w:t>
      </w:r>
      <w:r w:rsidR="00E65FBE">
        <w:rPr>
          <w:rFonts w:ascii="Times New Roman" w:hAnsi="Times New Roman"/>
          <w:sz w:val="24"/>
          <w:szCs w:val="24"/>
        </w:rPr>
        <w:t xml:space="preserve">территориального </w:t>
      </w:r>
      <w:r w:rsidRPr="00A3191E">
        <w:rPr>
          <w:rFonts w:ascii="Times New Roman" w:hAnsi="Times New Roman"/>
          <w:sz w:val="24"/>
          <w:szCs w:val="24"/>
        </w:rPr>
        <w:t xml:space="preserve">развития </w:t>
      </w:r>
      <w:r w:rsidR="00E65FBE">
        <w:rPr>
          <w:rFonts w:ascii="Times New Roman" w:hAnsi="Times New Roman"/>
          <w:sz w:val="24"/>
          <w:szCs w:val="24"/>
        </w:rPr>
        <w:t>Пермского</w:t>
      </w:r>
      <w:r w:rsidRPr="00A3191E">
        <w:rPr>
          <w:rFonts w:ascii="Times New Roman" w:hAnsi="Times New Roman"/>
          <w:sz w:val="24"/>
          <w:szCs w:val="24"/>
        </w:rPr>
        <w:t xml:space="preserve"> края.</w:t>
      </w:r>
    </w:p>
    <w:p w:rsidR="0020253D" w:rsidRDefault="00A3191E" w:rsidP="00793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91E">
        <w:rPr>
          <w:rFonts w:ascii="Times New Roman" w:hAnsi="Times New Roman"/>
          <w:sz w:val="24"/>
          <w:szCs w:val="24"/>
        </w:rPr>
        <w:t>При подготовке прогноза показателей на 202</w:t>
      </w:r>
      <w:r w:rsidR="00E65FBE">
        <w:rPr>
          <w:rFonts w:ascii="Times New Roman" w:hAnsi="Times New Roman"/>
          <w:sz w:val="24"/>
          <w:szCs w:val="24"/>
        </w:rPr>
        <w:t>3</w:t>
      </w:r>
      <w:r w:rsidRPr="00A3191E">
        <w:rPr>
          <w:rFonts w:ascii="Times New Roman" w:hAnsi="Times New Roman"/>
          <w:sz w:val="24"/>
          <w:szCs w:val="24"/>
        </w:rPr>
        <w:t>-202</w:t>
      </w:r>
      <w:r w:rsidR="00E65FBE">
        <w:rPr>
          <w:rFonts w:ascii="Times New Roman" w:hAnsi="Times New Roman"/>
          <w:sz w:val="24"/>
          <w:szCs w:val="24"/>
        </w:rPr>
        <w:t>5</w:t>
      </w:r>
      <w:r w:rsidRPr="00A3191E">
        <w:rPr>
          <w:rFonts w:ascii="Times New Roman" w:hAnsi="Times New Roman"/>
          <w:sz w:val="24"/>
          <w:szCs w:val="24"/>
        </w:rPr>
        <w:t xml:space="preserve"> годы использованы официальные отчетные данные </w:t>
      </w:r>
      <w:r w:rsidR="0020253D">
        <w:rPr>
          <w:rFonts w:ascii="Times New Roman" w:hAnsi="Times New Roman"/>
          <w:sz w:val="24"/>
          <w:szCs w:val="24"/>
        </w:rPr>
        <w:t>территориального органа Федеральной службы государственной статистики по Пермскому краю</w:t>
      </w:r>
      <w:r w:rsidRPr="00A3191E">
        <w:rPr>
          <w:rFonts w:ascii="Times New Roman" w:hAnsi="Times New Roman"/>
          <w:sz w:val="24"/>
          <w:szCs w:val="24"/>
        </w:rPr>
        <w:t>.</w:t>
      </w:r>
    </w:p>
    <w:p w:rsidR="00FD42BF" w:rsidRPr="0089069A" w:rsidRDefault="00FD42BF" w:rsidP="00781827">
      <w:pPr>
        <w:pStyle w:val="1"/>
        <w:spacing w:before="74"/>
        <w:ind w:left="3037"/>
        <w:jc w:val="left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Раздел 1. </w:t>
      </w:r>
      <w:r w:rsidRPr="0089069A">
        <w:rPr>
          <w:rFonts w:ascii="Times New Roman" w:hAnsi="Times New Roman"/>
          <w:w w:val="95"/>
          <w:sz w:val="24"/>
          <w:szCs w:val="24"/>
        </w:rPr>
        <w:t>Экономическое</w:t>
      </w:r>
      <w:r w:rsidRPr="0089069A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89069A">
        <w:rPr>
          <w:rFonts w:ascii="Times New Roman" w:hAnsi="Times New Roman"/>
          <w:spacing w:val="-2"/>
          <w:w w:val="95"/>
          <w:sz w:val="24"/>
          <w:szCs w:val="24"/>
        </w:rPr>
        <w:t>развитие</w:t>
      </w:r>
    </w:p>
    <w:p w:rsidR="00FD42BF" w:rsidRPr="0089069A" w:rsidRDefault="00FD42BF" w:rsidP="007818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В состав Александровского муниципального округа входит 38 населенных пунктов, в том </w:t>
      </w:r>
      <w:r w:rsidR="00BA7C71" w:rsidRPr="0089069A">
        <w:rPr>
          <w:rFonts w:ascii="Times New Roman" w:hAnsi="Times New Roman"/>
          <w:sz w:val="24"/>
          <w:szCs w:val="24"/>
        </w:rPr>
        <w:t>числе: 1</w:t>
      </w:r>
      <w:r w:rsidRPr="0089069A">
        <w:rPr>
          <w:rFonts w:ascii="Times New Roman" w:hAnsi="Times New Roman"/>
          <w:sz w:val="24"/>
          <w:szCs w:val="24"/>
        </w:rPr>
        <w:t xml:space="preserve"> город – Александровск, 2 рабочих поселка – Всеволодо-Вильва и Яйва, 35 сельских населенных пунктов. </w:t>
      </w:r>
    </w:p>
    <w:p w:rsidR="00FD42BF" w:rsidRPr="0089069A" w:rsidRDefault="00FD42BF" w:rsidP="007818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Административный центр – г. Александровск, удаленность от краевого центра (г. Пермь) по автомобильной дороге составляет порядка 250 км, по железной дороге (через станцию Чусовская) – 271 км.     </w:t>
      </w:r>
    </w:p>
    <w:p w:rsidR="00BB39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Площадь муниципального образования – 5529,9 кв.км. </w:t>
      </w:r>
    </w:p>
    <w:p w:rsidR="00FD42BF" w:rsidRPr="0012110A" w:rsidRDefault="0012110A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12110A">
        <w:rPr>
          <w:rFonts w:ascii="Times New Roman" w:hAnsi="Times New Roman"/>
          <w:sz w:val="24"/>
          <w:szCs w:val="24"/>
        </w:rPr>
        <w:t xml:space="preserve">оценке численности населения (с учетом итогов Всероссийской </w:t>
      </w:r>
      <w:r>
        <w:rPr>
          <w:rFonts w:ascii="Times New Roman" w:hAnsi="Times New Roman"/>
          <w:sz w:val="24"/>
          <w:szCs w:val="24"/>
        </w:rPr>
        <w:t xml:space="preserve">переписи </w:t>
      </w:r>
      <w:r w:rsidRPr="0012110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2020 года)</w:t>
      </w:r>
      <w:r w:rsidRPr="0012110A">
        <w:rPr>
          <w:rFonts w:ascii="Times New Roman" w:hAnsi="Times New Roman"/>
          <w:sz w:val="24"/>
          <w:szCs w:val="24"/>
        </w:rPr>
        <w:t xml:space="preserve">, предоставленной органами </w:t>
      </w:r>
      <w:r w:rsidR="00FD42BF" w:rsidRPr="0012110A">
        <w:rPr>
          <w:rFonts w:ascii="Times New Roman" w:hAnsi="Times New Roman"/>
          <w:sz w:val="24"/>
          <w:szCs w:val="24"/>
        </w:rPr>
        <w:t>государственной</w:t>
      </w:r>
      <w:r w:rsidR="00FD42BF" w:rsidRPr="0012110A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FD42BF" w:rsidRPr="0012110A">
        <w:rPr>
          <w:rFonts w:ascii="Times New Roman" w:hAnsi="Times New Roman"/>
          <w:sz w:val="24"/>
          <w:szCs w:val="24"/>
        </w:rPr>
        <w:t>статистики,</w:t>
      </w:r>
      <w:r w:rsidRPr="0012110A">
        <w:rPr>
          <w:rFonts w:ascii="Times New Roman" w:hAnsi="Times New Roman"/>
          <w:sz w:val="24"/>
          <w:szCs w:val="24"/>
        </w:rPr>
        <w:t xml:space="preserve"> по состоянию на 01 января 2023 года численность населения Александровского муниципального округа состав</w:t>
      </w:r>
      <w:r>
        <w:rPr>
          <w:rFonts w:ascii="Times New Roman" w:hAnsi="Times New Roman"/>
          <w:sz w:val="24"/>
          <w:szCs w:val="24"/>
        </w:rPr>
        <w:t>ляла</w:t>
      </w:r>
      <w:r w:rsidRPr="0012110A">
        <w:rPr>
          <w:rFonts w:ascii="Times New Roman" w:hAnsi="Times New Roman"/>
          <w:sz w:val="24"/>
          <w:szCs w:val="24"/>
        </w:rPr>
        <w:t xml:space="preserve"> 22 972</w:t>
      </w:r>
      <w:r w:rsidR="00FD42BF" w:rsidRPr="0012110A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FD42BF" w:rsidRPr="0012110A">
        <w:rPr>
          <w:rFonts w:ascii="Times New Roman" w:hAnsi="Times New Roman"/>
          <w:sz w:val="24"/>
          <w:szCs w:val="24"/>
        </w:rPr>
        <w:t>человек</w:t>
      </w:r>
      <w:r w:rsidRPr="0012110A">
        <w:rPr>
          <w:rFonts w:ascii="Times New Roman" w:hAnsi="Times New Roman"/>
          <w:sz w:val="24"/>
          <w:szCs w:val="24"/>
        </w:rPr>
        <w:t>а</w:t>
      </w:r>
      <w:r w:rsidR="00FD42BF" w:rsidRPr="0012110A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FD42BF" w:rsidRPr="0012110A">
        <w:rPr>
          <w:rFonts w:ascii="Times New Roman" w:hAnsi="Times New Roman"/>
          <w:sz w:val="24"/>
          <w:szCs w:val="24"/>
        </w:rPr>
        <w:t>(среднегодовая</w:t>
      </w:r>
      <w:r w:rsidR="00FD42BF" w:rsidRPr="0012110A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FD42BF" w:rsidRPr="0012110A">
        <w:rPr>
          <w:rFonts w:ascii="Times New Roman" w:hAnsi="Times New Roman"/>
          <w:sz w:val="24"/>
          <w:szCs w:val="24"/>
        </w:rPr>
        <w:t>численность</w:t>
      </w:r>
      <w:r w:rsidRPr="0012110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2E724C" w:rsidRPr="0012110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2E724C" w:rsidRPr="0012110A">
        <w:rPr>
          <w:rFonts w:ascii="Times New Roman" w:hAnsi="Times New Roman"/>
          <w:sz w:val="24"/>
          <w:szCs w:val="24"/>
        </w:rPr>
        <w:t>112</w:t>
      </w:r>
      <w:r w:rsidR="00FD42BF" w:rsidRPr="0012110A">
        <w:rPr>
          <w:rFonts w:ascii="Times New Roman" w:hAnsi="Times New Roman"/>
          <w:sz w:val="24"/>
          <w:szCs w:val="24"/>
        </w:rPr>
        <w:t xml:space="preserve"> человек).</w:t>
      </w:r>
      <w:r>
        <w:rPr>
          <w:rFonts w:ascii="Times New Roman" w:hAnsi="Times New Roman"/>
          <w:sz w:val="24"/>
          <w:szCs w:val="24"/>
        </w:rPr>
        <w:t xml:space="preserve"> Эти данные значительно отличаются от показателей численности населения </w:t>
      </w:r>
      <w:r w:rsidR="00617D8E" w:rsidRPr="00617D8E">
        <w:rPr>
          <w:rStyle w:val="af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оперируемой администрацией</w:t>
      </w:r>
      <w:r w:rsidR="00617D8E">
        <w:rPr>
          <w:rStyle w:val="af"/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617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уточнения </w:t>
      </w:r>
      <w:r w:rsidR="00617D8E">
        <w:rPr>
          <w:rFonts w:ascii="Times New Roman" w:hAnsi="Times New Roman"/>
          <w:sz w:val="24"/>
          <w:szCs w:val="24"/>
        </w:rPr>
        <w:t xml:space="preserve">в соответствии с ВПН-2020 г. (по данным </w:t>
      </w:r>
      <w:proofErr w:type="spellStart"/>
      <w:r w:rsidR="00617D8E">
        <w:rPr>
          <w:rFonts w:ascii="Times New Roman" w:hAnsi="Times New Roman"/>
          <w:sz w:val="24"/>
          <w:szCs w:val="24"/>
        </w:rPr>
        <w:t>Пермьстата</w:t>
      </w:r>
      <w:proofErr w:type="spellEnd"/>
      <w:r w:rsidR="00617D8E">
        <w:rPr>
          <w:rFonts w:ascii="Times New Roman" w:hAnsi="Times New Roman"/>
          <w:sz w:val="24"/>
          <w:szCs w:val="24"/>
        </w:rPr>
        <w:t xml:space="preserve"> численность населения на 01.01.2022 </w:t>
      </w:r>
      <w:r w:rsidR="001A01AB">
        <w:rPr>
          <w:rFonts w:ascii="Times New Roman" w:hAnsi="Times New Roman"/>
          <w:sz w:val="24"/>
          <w:szCs w:val="24"/>
        </w:rPr>
        <w:t>года</w:t>
      </w:r>
      <w:r w:rsidR="00617D8E">
        <w:rPr>
          <w:rFonts w:ascii="Times New Roman" w:hAnsi="Times New Roman"/>
          <w:sz w:val="24"/>
          <w:szCs w:val="24"/>
        </w:rPr>
        <w:t xml:space="preserve"> составляла 25 937 человек).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42BF" w:rsidRPr="0089069A" w:rsidRDefault="00FD42BF" w:rsidP="007818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Базовая основа экономики Александровского муниципального округа представлена ведущими отраслями промышленности, к которым традиционно относятся: электроэнергетика (филиал «Яйвинская ГРЭС» ПАО «Юнипро»), машиностроение (ОАО «Александровский машиностроительный завод»), добыча полезных ископаемых (Луньевский каменный карьер – филиал ООО «Западуралнеруд»), лесопромышленный комплекс (ООО «УралЛес», ООО «Лесотранспортная компания» и др.). </w:t>
      </w:r>
    </w:p>
    <w:p w:rsidR="00FD42BF" w:rsidRPr="0089069A" w:rsidRDefault="00721353" w:rsidP="00781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</w:t>
      </w:r>
      <w:r w:rsidR="00FD42BF" w:rsidRPr="0089069A">
        <w:rPr>
          <w:rFonts w:ascii="Times New Roman" w:hAnsi="Times New Roman"/>
          <w:bCs/>
          <w:sz w:val="24"/>
          <w:szCs w:val="24"/>
        </w:rPr>
        <w:t xml:space="preserve"> показатели социально-экономического развития Александровского муниципального округа показали снижение темпов роста: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69A">
        <w:rPr>
          <w:rFonts w:ascii="Times New Roman" w:hAnsi="Times New Roman"/>
          <w:bCs/>
          <w:sz w:val="24"/>
          <w:szCs w:val="24"/>
        </w:rPr>
        <w:t xml:space="preserve">- родилось </w:t>
      </w:r>
      <w:r w:rsidR="00522C7F">
        <w:rPr>
          <w:rFonts w:ascii="Times New Roman" w:hAnsi="Times New Roman"/>
          <w:bCs/>
          <w:sz w:val="24"/>
          <w:szCs w:val="24"/>
        </w:rPr>
        <w:t>220</w:t>
      </w:r>
      <w:r w:rsidRPr="0089069A">
        <w:rPr>
          <w:rFonts w:ascii="Times New Roman" w:hAnsi="Times New Roman"/>
          <w:bCs/>
          <w:sz w:val="24"/>
          <w:szCs w:val="24"/>
        </w:rPr>
        <w:t xml:space="preserve"> детей, что на </w:t>
      </w:r>
      <w:r w:rsidR="0024282E">
        <w:rPr>
          <w:rFonts w:ascii="Times New Roman" w:hAnsi="Times New Roman"/>
          <w:bCs/>
          <w:sz w:val="24"/>
          <w:szCs w:val="24"/>
        </w:rPr>
        <w:t>11</w:t>
      </w:r>
      <w:r w:rsidRPr="0089069A">
        <w:rPr>
          <w:rFonts w:ascii="Times New Roman" w:hAnsi="Times New Roman"/>
          <w:bCs/>
          <w:sz w:val="24"/>
          <w:szCs w:val="24"/>
        </w:rPr>
        <w:t xml:space="preserve"> чел. или </w:t>
      </w:r>
      <w:r w:rsidR="00F71B07">
        <w:rPr>
          <w:rFonts w:ascii="Times New Roman" w:hAnsi="Times New Roman"/>
          <w:bCs/>
          <w:sz w:val="24"/>
          <w:szCs w:val="24"/>
        </w:rPr>
        <w:t>4,8</w:t>
      </w:r>
      <w:r w:rsidRPr="0089069A">
        <w:rPr>
          <w:rFonts w:ascii="Times New Roman" w:hAnsi="Times New Roman"/>
          <w:bCs/>
          <w:sz w:val="24"/>
          <w:szCs w:val="24"/>
        </w:rPr>
        <w:t>% ниже уровня 202</w:t>
      </w:r>
      <w:r w:rsidR="0024282E">
        <w:rPr>
          <w:rFonts w:ascii="Times New Roman" w:hAnsi="Times New Roman"/>
          <w:bCs/>
          <w:sz w:val="24"/>
          <w:szCs w:val="24"/>
        </w:rPr>
        <w:t>1</w:t>
      </w:r>
      <w:r w:rsidRPr="0089069A">
        <w:rPr>
          <w:rFonts w:ascii="Times New Roman" w:hAnsi="Times New Roman"/>
          <w:bCs/>
          <w:sz w:val="24"/>
          <w:szCs w:val="24"/>
        </w:rPr>
        <w:t xml:space="preserve"> г</w:t>
      </w:r>
      <w:r w:rsidR="001A01AB">
        <w:rPr>
          <w:rFonts w:ascii="Times New Roman" w:hAnsi="Times New Roman"/>
          <w:bCs/>
          <w:sz w:val="24"/>
          <w:szCs w:val="24"/>
        </w:rPr>
        <w:t>ода</w:t>
      </w:r>
      <w:r w:rsidRPr="0089069A">
        <w:rPr>
          <w:rFonts w:ascii="Times New Roman" w:hAnsi="Times New Roman"/>
          <w:bCs/>
          <w:sz w:val="24"/>
          <w:szCs w:val="24"/>
        </w:rPr>
        <w:t>;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69A">
        <w:rPr>
          <w:rFonts w:ascii="Times New Roman" w:hAnsi="Times New Roman"/>
          <w:bCs/>
          <w:sz w:val="24"/>
          <w:szCs w:val="24"/>
        </w:rPr>
        <w:lastRenderedPageBreak/>
        <w:t xml:space="preserve">- на </w:t>
      </w:r>
      <w:r w:rsidR="00F71B07">
        <w:rPr>
          <w:rFonts w:ascii="Times New Roman" w:hAnsi="Times New Roman"/>
          <w:bCs/>
          <w:sz w:val="24"/>
          <w:szCs w:val="24"/>
        </w:rPr>
        <w:t>1</w:t>
      </w:r>
      <w:r w:rsidRPr="0089069A">
        <w:rPr>
          <w:rFonts w:ascii="Times New Roman" w:hAnsi="Times New Roman"/>
          <w:bCs/>
          <w:sz w:val="24"/>
          <w:szCs w:val="24"/>
        </w:rPr>
        <w:t xml:space="preserve"> ед. или </w:t>
      </w:r>
      <w:r w:rsidR="00F71B07">
        <w:rPr>
          <w:rFonts w:ascii="Times New Roman" w:hAnsi="Times New Roman"/>
          <w:bCs/>
          <w:sz w:val="24"/>
          <w:szCs w:val="24"/>
        </w:rPr>
        <w:t>0,5</w:t>
      </w:r>
      <w:r w:rsidRPr="0089069A">
        <w:rPr>
          <w:rFonts w:ascii="Times New Roman" w:hAnsi="Times New Roman"/>
          <w:bCs/>
          <w:sz w:val="24"/>
          <w:szCs w:val="24"/>
        </w:rPr>
        <w:t>% уменьшилось количество организаций, осуществляющих деятельность на территории Александровского муниципального округа, составив 19</w:t>
      </w:r>
      <w:r w:rsidR="00F71B07">
        <w:rPr>
          <w:rFonts w:ascii="Times New Roman" w:hAnsi="Times New Roman"/>
          <w:bCs/>
          <w:sz w:val="24"/>
          <w:szCs w:val="24"/>
        </w:rPr>
        <w:t>8</w:t>
      </w:r>
      <w:r w:rsidRPr="0089069A">
        <w:rPr>
          <w:rFonts w:ascii="Times New Roman" w:hAnsi="Times New Roman"/>
          <w:bCs/>
          <w:sz w:val="24"/>
          <w:szCs w:val="24"/>
        </w:rPr>
        <w:t xml:space="preserve"> ед</w:t>
      </w:r>
      <w:r w:rsidR="001A01AB">
        <w:rPr>
          <w:rFonts w:ascii="Times New Roman" w:hAnsi="Times New Roman"/>
          <w:bCs/>
          <w:sz w:val="24"/>
          <w:szCs w:val="24"/>
        </w:rPr>
        <w:t>иниц</w:t>
      </w:r>
      <w:r w:rsidRPr="0089069A">
        <w:rPr>
          <w:rFonts w:ascii="Times New Roman" w:hAnsi="Times New Roman"/>
          <w:bCs/>
          <w:sz w:val="24"/>
          <w:szCs w:val="24"/>
        </w:rPr>
        <w:t>;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- снизилась среднесписочная численность работников крупных и средних предприятий округа до </w:t>
      </w:r>
      <w:r w:rsidR="00656BD3">
        <w:rPr>
          <w:rFonts w:ascii="Times New Roman" w:hAnsi="Times New Roman"/>
          <w:sz w:val="24"/>
          <w:szCs w:val="24"/>
        </w:rPr>
        <w:t>3 751</w:t>
      </w:r>
      <w:r w:rsidRPr="0089069A">
        <w:rPr>
          <w:rFonts w:ascii="Times New Roman" w:hAnsi="Times New Roman"/>
          <w:sz w:val="24"/>
          <w:szCs w:val="24"/>
        </w:rPr>
        <w:t xml:space="preserve"> чел</w:t>
      </w:r>
      <w:r w:rsidR="001A01AB">
        <w:rPr>
          <w:rFonts w:ascii="Times New Roman" w:hAnsi="Times New Roman"/>
          <w:sz w:val="24"/>
          <w:szCs w:val="24"/>
        </w:rPr>
        <w:t>овек</w:t>
      </w:r>
      <w:r w:rsidRPr="0089069A">
        <w:rPr>
          <w:rFonts w:ascii="Times New Roman" w:hAnsi="Times New Roman"/>
          <w:sz w:val="24"/>
          <w:szCs w:val="24"/>
        </w:rPr>
        <w:t xml:space="preserve">, это на </w:t>
      </w:r>
      <w:r w:rsidR="00656BD3">
        <w:rPr>
          <w:rFonts w:ascii="Times New Roman" w:hAnsi="Times New Roman"/>
          <w:sz w:val="24"/>
          <w:szCs w:val="24"/>
        </w:rPr>
        <w:t>122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69A">
        <w:rPr>
          <w:rFonts w:ascii="Times New Roman" w:hAnsi="Times New Roman"/>
          <w:sz w:val="24"/>
          <w:szCs w:val="24"/>
        </w:rPr>
        <w:t>чел</w:t>
      </w:r>
      <w:r w:rsidR="001A01AB">
        <w:rPr>
          <w:rFonts w:ascii="Times New Roman" w:hAnsi="Times New Roman"/>
          <w:sz w:val="24"/>
          <w:szCs w:val="24"/>
        </w:rPr>
        <w:t xml:space="preserve">овек </w:t>
      </w:r>
      <w:r w:rsidRPr="0089069A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Pr="0089069A">
        <w:rPr>
          <w:rFonts w:ascii="Times New Roman" w:hAnsi="Times New Roman"/>
          <w:sz w:val="24"/>
          <w:szCs w:val="24"/>
        </w:rPr>
        <w:t xml:space="preserve"> </w:t>
      </w:r>
      <w:r w:rsidR="00656BD3">
        <w:rPr>
          <w:rFonts w:ascii="Times New Roman" w:hAnsi="Times New Roman"/>
          <w:sz w:val="24"/>
          <w:szCs w:val="24"/>
        </w:rPr>
        <w:t>3,2</w:t>
      </w:r>
      <w:r w:rsidRPr="0089069A">
        <w:rPr>
          <w:rFonts w:ascii="Times New Roman" w:hAnsi="Times New Roman"/>
          <w:sz w:val="24"/>
          <w:szCs w:val="24"/>
        </w:rPr>
        <w:t>% ниже аналогичного показателя 202</w:t>
      </w:r>
      <w:r w:rsidR="00656BD3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1A01AB">
        <w:rPr>
          <w:rFonts w:ascii="Times New Roman" w:hAnsi="Times New Roman"/>
          <w:sz w:val="24"/>
          <w:szCs w:val="24"/>
        </w:rPr>
        <w:t>года</w:t>
      </w:r>
      <w:r w:rsidRPr="0089069A">
        <w:rPr>
          <w:rFonts w:ascii="Times New Roman" w:hAnsi="Times New Roman"/>
          <w:sz w:val="24"/>
          <w:szCs w:val="24"/>
        </w:rPr>
        <w:t xml:space="preserve">, равного </w:t>
      </w:r>
      <w:r w:rsidR="00656BD3">
        <w:rPr>
          <w:rFonts w:ascii="Times New Roman" w:hAnsi="Times New Roman"/>
          <w:sz w:val="24"/>
          <w:szCs w:val="24"/>
        </w:rPr>
        <w:t>3 873</w:t>
      </w:r>
      <w:r w:rsidRPr="0089069A">
        <w:rPr>
          <w:rFonts w:ascii="Times New Roman" w:hAnsi="Times New Roman"/>
          <w:sz w:val="24"/>
          <w:szCs w:val="24"/>
        </w:rPr>
        <w:t xml:space="preserve"> чел</w:t>
      </w:r>
      <w:r w:rsidR="001A01AB">
        <w:rPr>
          <w:rFonts w:ascii="Times New Roman" w:hAnsi="Times New Roman"/>
          <w:sz w:val="24"/>
          <w:szCs w:val="24"/>
        </w:rPr>
        <w:t>овек</w:t>
      </w:r>
      <w:r w:rsidRPr="0089069A">
        <w:rPr>
          <w:rFonts w:ascii="Times New Roman" w:hAnsi="Times New Roman"/>
          <w:sz w:val="24"/>
          <w:szCs w:val="24"/>
        </w:rPr>
        <w:t>.;</w:t>
      </w:r>
    </w:p>
    <w:p w:rsidR="00721353" w:rsidRPr="0089069A" w:rsidRDefault="00721353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- инвестиции в основной капитал составили </w:t>
      </w:r>
      <w:r>
        <w:rPr>
          <w:rFonts w:ascii="Times New Roman" w:hAnsi="Times New Roman"/>
          <w:sz w:val="24"/>
          <w:szCs w:val="24"/>
        </w:rPr>
        <w:t>1 007,1</w:t>
      </w:r>
      <w:r w:rsidRPr="0089069A">
        <w:rPr>
          <w:rFonts w:ascii="Times New Roman" w:hAnsi="Times New Roman"/>
          <w:sz w:val="24"/>
          <w:szCs w:val="24"/>
        </w:rPr>
        <w:t xml:space="preserve"> млн.</w:t>
      </w:r>
      <w:r w:rsidR="009C154F">
        <w:rPr>
          <w:rFonts w:ascii="Times New Roman" w:hAnsi="Times New Roman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, это на </w:t>
      </w:r>
      <w:r>
        <w:rPr>
          <w:rFonts w:ascii="Times New Roman" w:hAnsi="Times New Roman"/>
          <w:sz w:val="24"/>
          <w:szCs w:val="24"/>
        </w:rPr>
        <w:t>910,8</w:t>
      </w:r>
      <w:r w:rsidRPr="0089069A">
        <w:rPr>
          <w:rFonts w:ascii="Times New Roman" w:hAnsi="Times New Roman"/>
          <w:sz w:val="24"/>
          <w:szCs w:val="24"/>
        </w:rPr>
        <w:t xml:space="preserve"> млн.</w:t>
      </w:r>
      <w:r w:rsidR="001A01AB">
        <w:rPr>
          <w:rFonts w:ascii="Times New Roman" w:hAnsi="Times New Roman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47,5</w:t>
      </w:r>
      <w:r w:rsidRPr="0089069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ниже</w:t>
      </w:r>
      <w:r w:rsidRPr="0089069A">
        <w:rPr>
          <w:rFonts w:ascii="Times New Roman" w:hAnsi="Times New Roman"/>
          <w:sz w:val="24"/>
          <w:szCs w:val="24"/>
        </w:rPr>
        <w:t xml:space="preserve"> показателя 202</w:t>
      </w:r>
      <w:r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>.</w:t>
      </w:r>
      <w:r w:rsidR="00BB399A">
        <w:rPr>
          <w:rFonts w:ascii="Times New Roman" w:hAnsi="Times New Roman"/>
          <w:sz w:val="24"/>
          <w:szCs w:val="24"/>
        </w:rPr>
        <w:t xml:space="preserve"> Снижение показателя связано с </w:t>
      </w:r>
      <w:r w:rsidR="009C154F">
        <w:rPr>
          <w:rFonts w:ascii="Times New Roman" w:hAnsi="Times New Roman"/>
          <w:sz w:val="24"/>
          <w:szCs w:val="24"/>
        </w:rPr>
        <w:t xml:space="preserve">завершением в 2021 году </w:t>
      </w:r>
      <w:proofErr w:type="gramStart"/>
      <w:r w:rsidR="009C154F">
        <w:rPr>
          <w:rFonts w:ascii="Times New Roman" w:hAnsi="Times New Roman"/>
          <w:sz w:val="24"/>
          <w:szCs w:val="24"/>
        </w:rPr>
        <w:t>филиалом  «</w:t>
      </w:r>
      <w:proofErr w:type="gramEnd"/>
      <w:r w:rsidR="009C154F">
        <w:rPr>
          <w:rFonts w:ascii="Times New Roman" w:hAnsi="Times New Roman"/>
          <w:sz w:val="24"/>
          <w:szCs w:val="24"/>
        </w:rPr>
        <w:t>Яйвинская ГРЭС» ПАО «</w:t>
      </w:r>
      <w:proofErr w:type="spellStart"/>
      <w:r w:rsidR="009C154F">
        <w:rPr>
          <w:rFonts w:ascii="Times New Roman" w:hAnsi="Times New Roman"/>
          <w:sz w:val="24"/>
          <w:szCs w:val="24"/>
        </w:rPr>
        <w:t>Юнипро</w:t>
      </w:r>
      <w:proofErr w:type="spellEnd"/>
      <w:r w:rsidR="009C154F">
        <w:rPr>
          <w:rFonts w:ascii="Times New Roman" w:hAnsi="Times New Roman"/>
          <w:sz w:val="24"/>
          <w:szCs w:val="24"/>
        </w:rPr>
        <w:t>»  работ по модернизации блока № 5, объем инвестиций по которым составил 1747,0 млн. 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="009C154F">
        <w:rPr>
          <w:rFonts w:ascii="Times New Roman" w:hAnsi="Times New Roman"/>
          <w:sz w:val="24"/>
          <w:szCs w:val="24"/>
        </w:rPr>
        <w:t xml:space="preserve">.  </w:t>
      </w:r>
    </w:p>
    <w:p w:rsidR="00FD42B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К позитивным изменениям следует отнести:</w:t>
      </w:r>
    </w:p>
    <w:p w:rsidR="00721353" w:rsidRDefault="00721353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- </w:t>
      </w:r>
      <w:r w:rsidR="00BB399A">
        <w:rPr>
          <w:rFonts w:ascii="Times New Roman" w:hAnsi="Times New Roman"/>
          <w:sz w:val="24"/>
          <w:szCs w:val="24"/>
        </w:rPr>
        <w:t>снижение</w:t>
      </w:r>
      <w:r w:rsidRPr="0089069A">
        <w:rPr>
          <w:rFonts w:ascii="Times New Roman" w:hAnsi="Times New Roman"/>
          <w:sz w:val="24"/>
          <w:szCs w:val="24"/>
        </w:rPr>
        <w:t xml:space="preserve"> миграционного оттока с </w:t>
      </w:r>
      <w:r>
        <w:rPr>
          <w:rFonts w:ascii="Times New Roman" w:hAnsi="Times New Roman"/>
          <w:sz w:val="24"/>
          <w:szCs w:val="24"/>
        </w:rPr>
        <w:t>153</w:t>
      </w:r>
      <w:r w:rsidRPr="0089069A">
        <w:rPr>
          <w:rFonts w:ascii="Times New Roman" w:hAnsi="Times New Roman"/>
          <w:sz w:val="24"/>
          <w:szCs w:val="24"/>
        </w:rPr>
        <w:t xml:space="preserve"> чел</w:t>
      </w:r>
      <w:r w:rsidR="001A01AB">
        <w:rPr>
          <w:rFonts w:ascii="Times New Roman" w:hAnsi="Times New Roman"/>
          <w:sz w:val="24"/>
          <w:szCs w:val="24"/>
        </w:rPr>
        <w:t>овек</w:t>
      </w:r>
      <w:r w:rsidRPr="0089069A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оду</w:t>
      </w:r>
      <w:r w:rsidRPr="0089069A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62</w:t>
      </w:r>
      <w:r w:rsidRPr="0089069A">
        <w:rPr>
          <w:rFonts w:ascii="Times New Roman" w:hAnsi="Times New Roman"/>
          <w:sz w:val="24"/>
          <w:szCs w:val="24"/>
        </w:rPr>
        <w:t xml:space="preserve"> чел</w:t>
      </w:r>
      <w:r w:rsidR="001A01AB">
        <w:rPr>
          <w:rFonts w:ascii="Times New Roman" w:hAnsi="Times New Roman"/>
          <w:sz w:val="24"/>
          <w:szCs w:val="24"/>
        </w:rPr>
        <w:t>овек</w:t>
      </w:r>
      <w:r w:rsidRPr="0089069A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оду</w:t>
      </w:r>
      <w:r>
        <w:rPr>
          <w:rFonts w:ascii="Times New Roman" w:hAnsi="Times New Roman"/>
          <w:sz w:val="24"/>
          <w:szCs w:val="24"/>
        </w:rPr>
        <w:t>;</w:t>
      </w:r>
    </w:p>
    <w:p w:rsidR="00721353" w:rsidRPr="0089069A" w:rsidRDefault="00721353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bCs/>
          <w:sz w:val="24"/>
          <w:szCs w:val="24"/>
        </w:rPr>
        <w:t xml:space="preserve">- организациями </w:t>
      </w:r>
      <w:r w:rsidRPr="0089069A">
        <w:rPr>
          <w:rFonts w:ascii="Times New Roman" w:hAnsi="Times New Roman"/>
          <w:sz w:val="24"/>
          <w:szCs w:val="24"/>
        </w:rPr>
        <w:t>округа по итогам 202</w:t>
      </w:r>
      <w:r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 xml:space="preserve"> отгружено товаров собственного производства, выполненных работ и услуг на сумму </w:t>
      </w:r>
      <w:r>
        <w:rPr>
          <w:rFonts w:ascii="Times New Roman" w:hAnsi="Times New Roman"/>
          <w:sz w:val="24"/>
          <w:szCs w:val="24"/>
        </w:rPr>
        <w:t>10 109,9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69A">
        <w:rPr>
          <w:rFonts w:ascii="Times New Roman" w:hAnsi="Times New Roman"/>
          <w:sz w:val="24"/>
          <w:szCs w:val="24"/>
        </w:rPr>
        <w:t>млн.руб</w:t>
      </w:r>
      <w:r w:rsidR="001A01AB">
        <w:rPr>
          <w:rFonts w:ascii="Times New Roman" w:hAnsi="Times New Roman"/>
          <w:sz w:val="24"/>
          <w:szCs w:val="24"/>
        </w:rPr>
        <w:t>лей</w:t>
      </w:r>
      <w:proofErr w:type="gramEnd"/>
      <w:r w:rsidRPr="0089069A">
        <w:rPr>
          <w:rFonts w:ascii="Times New Roman" w:hAnsi="Times New Roman"/>
          <w:sz w:val="24"/>
          <w:szCs w:val="24"/>
        </w:rPr>
        <w:t xml:space="preserve">, что на </w:t>
      </w:r>
      <w:r>
        <w:rPr>
          <w:rFonts w:ascii="Times New Roman" w:hAnsi="Times New Roman"/>
          <w:sz w:val="24"/>
          <w:szCs w:val="24"/>
        </w:rPr>
        <w:t>1 415</w:t>
      </w:r>
      <w:r w:rsidRPr="0089069A">
        <w:rPr>
          <w:rFonts w:ascii="Times New Roman" w:hAnsi="Times New Roman"/>
          <w:sz w:val="24"/>
          <w:szCs w:val="24"/>
        </w:rPr>
        <w:t xml:space="preserve"> млн.руб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16,3</w:t>
      </w:r>
      <w:r w:rsidRPr="0089069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выше</w:t>
      </w:r>
      <w:r w:rsidRPr="0089069A">
        <w:rPr>
          <w:rFonts w:ascii="Times New Roman" w:hAnsi="Times New Roman"/>
          <w:sz w:val="24"/>
          <w:szCs w:val="24"/>
        </w:rPr>
        <w:t xml:space="preserve"> аналогичного показателя 20</w:t>
      </w:r>
      <w:r>
        <w:rPr>
          <w:rFonts w:ascii="Times New Roman" w:hAnsi="Times New Roman"/>
          <w:sz w:val="24"/>
          <w:szCs w:val="24"/>
        </w:rPr>
        <w:t>21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>;</w:t>
      </w:r>
    </w:p>
    <w:p w:rsidR="00721353" w:rsidRPr="00721353" w:rsidRDefault="00721353" w:rsidP="00781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69A">
        <w:rPr>
          <w:rFonts w:ascii="Times New Roman" w:hAnsi="Times New Roman"/>
          <w:bCs/>
          <w:sz w:val="24"/>
          <w:szCs w:val="24"/>
        </w:rPr>
        <w:t xml:space="preserve">- на </w:t>
      </w:r>
      <w:r>
        <w:rPr>
          <w:rFonts w:ascii="Times New Roman" w:hAnsi="Times New Roman"/>
          <w:bCs/>
          <w:sz w:val="24"/>
          <w:szCs w:val="24"/>
        </w:rPr>
        <w:t>148</w:t>
      </w:r>
      <w:r w:rsidRPr="0089069A">
        <w:rPr>
          <w:rFonts w:ascii="Times New Roman" w:hAnsi="Times New Roman"/>
          <w:bCs/>
          <w:sz w:val="24"/>
          <w:szCs w:val="24"/>
        </w:rPr>
        <w:t xml:space="preserve"> ед</w:t>
      </w:r>
      <w:r w:rsidR="001A01AB">
        <w:rPr>
          <w:rFonts w:ascii="Times New Roman" w:hAnsi="Times New Roman"/>
          <w:bCs/>
          <w:sz w:val="24"/>
          <w:szCs w:val="24"/>
        </w:rPr>
        <w:t>иниц</w:t>
      </w:r>
      <w:r w:rsidRPr="008906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снизилось</w:t>
      </w:r>
      <w:r w:rsidRPr="0089069A">
        <w:rPr>
          <w:rFonts w:ascii="Times New Roman" w:hAnsi="Times New Roman"/>
          <w:bCs/>
          <w:sz w:val="24"/>
          <w:szCs w:val="24"/>
        </w:rPr>
        <w:t xml:space="preserve"> количество смертей или на </w:t>
      </w:r>
      <w:r>
        <w:rPr>
          <w:rFonts w:ascii="Times New Roman" w:hAnsi="Times New Roman"/>
          <w:bCs/>
          <w:sz w:val="24"/>
          <w:szCs w:val="24"/>
        </w:rPr>
        <w:t>25,3</w:t>
      </w:r>
      <w:r w:rsidRPr="0089069A">
        <w:rPr>
          <w:rFonts w:ascii="Times New Roman" w:hAnsi="Times New Roman"/>
          <w:bCs/>
          <w:sz w:val="24"/>
          <w:szCs w:val="24"/>
        </w:rPr>
        <w:t>% (</w:t>
      </w:r>
      <w:r>
        <w:rPr>
          <w:rFonts w:ascii="Times New Roman" w:hAnsi="Times New Roman"/>
          <w:bCs/>
          <w:sz w:val="24"/>
          <w:szCs w:val="24"/>
        </w:rPr>
        <w:t>586</w:t>
      </w:r>
      <w:r w:rsidRPr="0089069A">
        <w:rPr>
          <w:rFonts w:ascii="Times New Roman" w:hAnsi="Times New Roman"/>
          <w:bCs/>
          <w:sz w:val="24"/>
          <w:szCs w:val="24"/>
        </w:rPr>
        <w:t xml:space="preserve"> в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89069A">
        <w:rPr>
          <w:rFonts w:ascii="Times New Roman" w:hAnsi="Times New Roman"/>
          <w:bCs/>
          <w:sz w:val="24"/>
          <w:szCs w:val="24"/>
        </w:rPr>
        <w:t xml:space="preserve"> г</w:t>
      </w:r>
      <w:r w:rsidR="001A01AB">
        <w:rPr>
          <w:rFonts w:ascii="Times New Roman" w:hAnsi="Times New Roman"/>
          <w:bCs/>
          <w:sz w:val="24"/>
          <w:szCs w:val="24"/>
        </w:rPr>
        <w:t>оду</w:t>
      </w:r>
      <w:r>
        <w:rPr>
          <w:rFonts w:ascii="Times New Roman" w:hAnsi="Times New Roman"/>
          <w:bCs/>
          <w:sz w:val="24"/>
          <w:szCs w:val="24"/>
        </w:rPr>
        <w:t>,</w:t>
      </w:r>
      <w:r w:rsidRPr="008906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438</w:t>
      </w:r>
      <w:r w:rsidRPr="0089069A">
        <w:rPr>
          <w:rFonts w:ascii="Times New Roman" w:hAnsi="Times New Roman"/>
          <w:bCs/>
          <w:sz w:val="24"/>
          <w:szCs w:val="24"/>
        </w:rPr>
        <w:t xml:space="preserve"> в 202</w:t>
      </w:r>
      <w:r>
        <w:rPr>
          <w:rFonts w:ascii="Times New Roman" w:hAnsi="Times New Roman"/>
          <w:bCs/>
          <w:sz w:val="24"/>
          <w:szCs w:val="24"/>
        </w:rPr>
        <w:t>2</w:t>
      </w:r>
      <w:r w:rsidR="001A01AB">
        <w:rPr>
          <w:rFonts w:ascii="Times New Roman" w:hAnsi="Times New Roman"/>
          <w:bCs/>
          <w:sz w:val="24"/>
          <w:szCs w:val="24"/>
        </w:rPr>
        <w:t xml:space="preserve"> </w:t>
      </w:r>
      <w:r w:rsidRPr="0089069A">
        <w:rPr>
          <w:rFonts w:ascii="Times New Roman" w:hAnsi="Times New Roman"/>
          <w:bCs/>
          <w:sz w:val="24"/>
          <w:szCs w:val="24"/>
        </w:rPr>
        <w:t>г</w:t>
      </w:r>
      <w:r w:rsidR="001A01AB">
        <w:rPr>
          <w:rFonts w:ascii="Times New Roman" w:hAnsi="Times New Roman"/>
          <w:bCs/>
          <w:sz w:val="24"/>
          <w:szCs w:val="24"/>
        </w:rPr>
        <w:t>оду</w:t>
      </w:r>
      <w:r w:rsidRPr="0089069A">
        <w:rPr>
          <w:rFonts w:ascii="Times New Roman" w:hAnsi="Times New Roman"/>
          <w:bCs/>
          <w:sz w:val="24"/>
          <w:szCs w:val="24"/>
        </w:rPr>
        <w:t>);</w:t>
      </w:r>
    </w:p>
    <w:p w:rsidR="00FD42BF" w:rsidRPr="00617D8E" w:rsidRDefault="00617D8E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17D8E">
        <w:rPr>
          <w:rFonts w:ascii="Times New Roman" w:hAnsi="Times New Roman"/>
          <w:sz w:val="24"/>
          <w:szCs w:val="24"/>
        </w:rPr>
        <w:t>о состоянию на 01 января 2023  года численность зарегистрированных безработных составила 230 человек  (против 279 человек на 01 января 2022 года)</w:t>
      </w:r>
      <w:r w:rsidR="00FD42BF" w:rsidRPr="00617D8E">
        <w:rPr>
          <w:rFonts w:ascii="Times New Roman" w:hAnsi="Times New Roman"/>
          <w:sz w:val="24"/>
          <w:szCs w:val="24"/>
        </w:rPr>
        <w:t>;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-  уровень регистрируемой безработицы в округе на конец 202</w:t>
      </w:r>
      <w:r w:rsidR="00EE69DC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 xml:space="preserve"> снизился, составив </w:t>
      </w:r>
      <w:r w:rsidR="00EE69DC">
        <w:rPr>
          <w:rFonts w:ascii="Times New Roman" w:hAnsi="Times New Roman"/>
          <w:sz w:val="24"/>
          <w:szCs w:val="24"/>
        </w:rPr>
        <w:t>1,95</w:t>
      </w:r>
      <w:r w:rsidRPr="0089069A">
        <w:rPr>
          <w:rFonts w:ascii="Times New Roman" w:hAnsi="Times New Roman"/>
          <w:sz w:val="24"/>
          <w:szCs w:val="24"/>
        </w:rPr>
        <w:t>% (в конце 202</w:t>
      </w:r>
      <w:r w:rsidR="00EE69DC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1A01AB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 xml:space="preserve"> – </w:t>
      </w:r>
      <w:r w:rsidR="00EE69DC">
        <w:rPr>
          <w:rFonts w:ascii="Times New Roman" w:hAnsi="Times New Roman"/>
          <w:sz w:val="24"/>
          <w:szCs w:val="24"/>
        </w:rPr>
        <w:t>2,36</w:t>
      </w:r>
      <w:r w:rsidRPr="0089069A">
        <w:rPr>
          <w:rFonts w:ascii="Times New Roman" w:hAnsi="Times New Roman"/>
          <w:sz w:val="24"/>
          <w:szCs w:val="24"/>
        </w:rPr>
        <w:t>%);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- рост средней заработной платы на </w:t>
      </w:r>
      <w:r w:rsidR="00721353">
        <w:rPr>
          <w:rFonts w:ascii="Times New Roman" w:hAnsi="Times New Roman"/>
          <w:sz w:val="24"/>
          <w:szCs w:val="24"/>
        </w:rPr>
        <w:t>4 840,7</w:t>
      </w:r>
      <w:r w:rsidRPr="0089069A">
        <w:rPr>
          <w:rFonts w:ascii="Times New Roman" w:hAnsi="Times New Roman"/>
          <w:sz w:val="24"/>
          <w:szCs w:val="24"/>
        </w:rPr>
        <w:t xml:space="preserve"> 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 или </w:t>
      </w:r>
      <w:r w:rsidR="00721353">
        <w:rPr>
          <w:rFonts w:ascii="Times New Roman" w:hAnsi="Times New Roman"/>
          <w:sz w:val="24"/>
          <w:szCs w:val="24"/>
        </w:rPr>
        <w:t>13,3</w:t>
      </w:r>
      <w:r w:rsidRPr="0089069A">
        <w:rPr>
          <w:rFonts w:ascii="Times New Roman" w:hAnsi="Times New Roman"/>
          <w:sz w:val="24"/>
          <w:szCs w:val="24"/>
        </w:rPr>
        <w:t xml:space="preserve"> %, которая достигла размера </w:t>
      </w:r>
      <w:r w:rsidR="00721353">
        <w:rPr>
          <w:rFonts w:ascii="Times New Roman" w:hAnsi="Times New Roman"/>
          <w:sz w:val="24"/>
          <w:szCs w:val="24"/>
        </w:rPr>
        <w:t>41 346,6</w:t>
      </w:r>
      <w:r w:rsidRPr="0089069A">
        <w:rPr>
          <w:rFonts w:ascii="Times New Roman" w:hAnsi="Times New Roman"/>
          <w:sz w:val="24"/>
          <w:szCs w:val="24"/>
        </w:rPr>
        <w:t xml:space="preserve"> руб</w:t>
      </w:r>
      <w:r w:rsidR="001A01AB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>.</w:t>
      </w:r>
    </w:p>
    <w:p w:rsidR="003E16B6" w:rsidRPr="003E16B6" w:rsidRDefault="003E16B6" w:rsidP="007818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6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ОАО «Александровский машиностроительный завод»– старейшее градообразующее предприятие Александровского муниципального округа. В 2022 году заводу исполнилось 220 лет. </w:t>
      </w:r>
      <w:r w:rsidRPr="003E16B6">
        <w:rPr>
          <w:rFonts w:ascii="Times New Roman" w:hAnsi="Times New Roman"/>
          <w:sz w:val="24"/>
          <w:szCs w:val="24"/>
        </w:rPr>
        <w:t xml:space="preserve">Предприятие в санкционный период не только не ушло в стагнацию, но после </w:t>
      </w:r>
      <w:r>
        <w:rPr>
          <w:rFonts w:ascii="Times New Roman" w:hAnsi="Times New Roman"/>
          <w:sz w:val="24"/>
          <w:szCs w:val="24"/>
        </w:rPr>
        <w:t>затяжного</w:t>
      </w:r>
      <w:r w:rsidRPr="003E16B6">
        <w:rPr>
          <w:rFonts w:ascii="Times New Roman" w:hAnsi="Times New Roman"/>
          <w:sz w:val="24"/>
          <w:szCs w:val="24"/>
        </w:rPr>
        <w:t xml:space="preserve"> периода </w:t>
      </w:r>
      <w:proofErr w:type="spellStart"/>
      <w:r w:rsidRPr="003E16B6">
        <w:rPr>
          <w:rFonts w:ascii="Times New Roman" w:hAnsi="Times New Roman"/>
          <w:sz w:val="24"/>
          <w:szCs w:val="24"/>
        </w:rPr>
        <w:t>предбанкротного</w:t>
      </w:r>
      <w:proofErr w:type="spellEnd"/>
      <w:r w:rsidRPr="003E16B6">
        <w:rPr>
          <w:rFonts w:ascii="Times New Roman" w:hAnsi="Times New Roman"/>
          <w:sz w:val="24"/>
          <w:szCs w:val="24"/>
        </w:rPr>
        <w:t xml:space="preserve"> состояния, стабильно работает</w:t>
      </w:r>
      <w:r>
        <w:rPr>
          <w:rFonts w:ascii="Times New Roman" w:hAnsi="Times New Roman"/>
          <w:sz w:val="24"/>
          <w:szCs w:val="24"/>
        </w:rPr>
        <w:t>,</w:t>
      </w:r>
      <w:r w:rsidRPr="003E16B6">
        <w:rPr>
          <w:rFonts w:ascii="Times New Roman" w:hAnsi="Times New Roman"/>
          <w:sz w:val="24"/>
          <w:szCs w:val="24"/>
        </w:rPr>
        <w:t xml:space="preserve"> создаются новые рабочие места.</w:t>
      </w:r>
    </w:p>
    <w:p w:rsidR="003E16B6" w:rsidRPr="003E16B6" w:rsidRDefault="003E16B6" w:rsidP="00781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E16B6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ОАО «АМЗ» имеет все необходимые условия для изготовления горно-шахтного оборудования высокого качества: конвейеры, питатели, электровозы, редукторы, вагонетки, лебедки. </w:t>
      </w:r>
    </w:p>
    <w:p w:rsidR="00623AC2" w:rsidRPr="007938FD" w:rsidRDefault="00AF49AA" w:rsidP="007818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8FD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2022 год </w:t>
      </w:r>
      <w:r w:rsidRPr="007938FD">
        <w:rPr>
          <w:rFonts w:ascii="Times New Roman" w:hAnsi="Times New Roman"/>
          <w:sz w:val="24"/>
          <w:szCs w:val="24"/>
          <w:shd w:val="clear" w:color="auto" w:fill="FFFFFF"/>
        </w:rPr>
        <w:t xml:space="preserve">ОАО «АМЗ» среднесписочная численность работников </w:t>
      </w:r>
      <w:r w:rsidR="00BB399A" w:rsidRPr="007938FD">
        <w:rPr>
          <w:rFonts w:ascii="Times New Roman" w:hAnsi="Times New Roman"/>
          <w:sz w:val="24"/>
          <w:szCs w:val="24"/>
          <w:shd w:val="clear" w:color="auto" w:fill="FFFFFF"/>
        </w:rPr>
        <w:t>ОАО «АМЗ» увеличилась на 118 человек и на конец отчетного периода составила 465 человек</w:t>
      </w:r>
      <w:r w:rsidRPr="007938FD">
        <w:rPr>
          <w:rFonts w:ascii="Times New Roman" w:eastAsia="Times New Roman" w:hAnsi="Times New Roman"/>
          <w:sz w:val="24"/>
          <w:szCs w:val="24"/>
          <w:lang w:eastAsia="ru-RU"/>
        </w:rPr>
        <w:t>, объем отгруженных товаров собственного производства, выполненных работ и услуг собственными силами составил 196,1 млн. руб., что на 152,5% выше показателя предыдущего года.</w:t>
      </w:r>
    </w:p>
    <w:p w:rsidR="00BB399A" w:rsidRPr="007938FD" w:rsidRDefault="00BB399A" w:rsidP="007938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8FD">
        <w:rPr>
          <w:rFonts w:ascii="Times New Roman" w:eastAsia="Times New Roman" w:hAnsi="Times New Roman"/>
          <w:sz w:val="24"/>
          <w:szCs w:val="24"/>
          <w:lang w:eastAsia="ru-RU"/>
        </w:rPr>
        <w:t>За первый квартал 2023 года на градообразующем предприятии дополнительно создано 50 рабочих мест, объем отгруженных товаров собственного производства, выполненных работ и услуг собственными силами составил 262,9 млн. руб</w:t>
      </w:r>
      <w:r w:rsidR="001A01AB" w:rsidRPr="007938FD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7938FD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810% к аналогичному показателю 2022 года.</w:t>
      </w:r>
    </w:p>
    <w:p w:rsidR="00FD42BF" w:rsidRPr="0089069A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iCs/>
          <w:sz w:val="24"/>
          <w:szCs w:val="24"/>
        </w:rPr>
        <w:t xml:space="preserve">1. Число субъектов малого и среднего предпринимательства в расчете на 10 тыс. человек населения. </w:t>
      </w:r>
    </w:p>
    <w:p w:rsidR="009C154F" w:rsidRPr="00781827" w:rsidRDefault="009C154F" w:rsidP="0078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81827">
        <w:rPr>
          <w:rFonts w:ascii="Times New Roman CYR" w:hAnsi="Times New Roman CYR" w:cs="Times New Roman CYR"/>
          <w:sz w:val="24"/>
          <w:szCs w:val="24"/>
        </w:rPr>
        <w:t xml:space="preserve">По данным Территориального органа федеральной службы государственной статистики по Пермскому краю, количество 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>субъектов малого и среднего предпринимательства на 01 января 2023 года составило 533 единицы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, что на 3 единицы выше показателя 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прошлого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644BA" w:rsidRPr="00781827" w:rsidRDefault="009C154F" w:rsidP="0078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81827">
        <w:rPr>
          <w:rFonts w:ascii="Times New Roman CYR" w:hAnsi="Times New Roman CYR" w:cs="Times New Roman CYR"/>
          <w:sz w:val="24"/>
          <w:szCs w:val="24"/>
        </w:rPr>
        <w:t xml:space="preserve">Число субъектов малого и среднего предпринимательства в расчете на 10 000 человек населения по 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>округу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в 202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>2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году составило </w:t>
      </w:r>
      <w:r w:rsidR="00A52D9D" w:rsidRPr="00781827">
        <w:rPr>
          <w:rFonts w:ascii="Times New Roman CYR" w:hAnsi="Times New Roman CYR" w:cs="Times New Roman CYR"/>
          <w:sz w:val="24"/>
          <w:szCs w:val="24"/>
          <w:highlight w:val="white"/>
        </w:rPr>
        <w:t>232,0</w:t>
      </w:r>
      <w:r w:rsidRPr="00781827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781827">
        <w:rPr>
          <w:rFonts w:ascii="Times New Roman CYR" w:hAnsi="Times New Roman CYR" w:cs="Times New Roman CYR"/>
          <w:sz w:val="24"/>
          <w:szCs w:val="24"/>
        </w:rPr>
        <w:t>единиц</w:t>
      </w:r>
      <w:r w:rsidR="00A52D9D" w:rsidRPr="00781827">
        <w:rPr>
          <w:rFonts w:ascii="Times New Roman CYR" w:hAnsi="Times New Roman CYR" w:cs="Times New Roman CYR"/>
          <w:sz w:val="24"/>
          <w:szCs w:val="24"/>
        </w:rPr>
        <w:t>ы</w:t>
      </w:r>
      <w:r w:rsidRPr="00781827">
        <w:rPr>
          <w:rFonts w:ascii="Times New Roman CYR" w:hAnsi="Times New Roman CYR" w:cs="Times New Roman CYR"/>
          <w:sz w:val="24"/>
          <w:szCs w:val="24"/>
        </w:rPr>
        <w:t>.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Увеличение</w:t>
      </w:r>
      <w:r w:rsidR="008560F6" w:rsidRPr="00781827">
        <w:rPr>
          <w:rFonts w:ascii="Times New Roman CYR" w:hAnsi="Times New Roman CYR" w:cs="Times New Roman CYR"/>
          <w:sz w:val="24"/>
          <w:szCs w:val="24"/>
        </w:rPr>
        <w:t xml:space="preserve"> показателя произошло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A52D9D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>в связи с существенным снижением численности населения по итогам Всеросийской переписи населения 2020 года</w:t>
      </w:r>
      <w:r w:rsidR="004644BA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(на 01 октября 2021 года  - 23 346 человек  по итогам ВПН-2020; на 01 января 2022 – 25 937 человек по данным </w:t>
      </w:r>
      <w:proofErr w:type="spellStart"/>
      <w:r w:rsidR="004644BA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>Пермьстата</w:t>
      </w:r>
      <w:proofErr w:type="spellEnd"/>
      <w:r w:rsidR="004644BA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  <w:r w:rsidR="00A52D9D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, наряду с </w:t>
      </w:r>
      <w:r w:rsidR="004644BA" w:rsidRPr="007818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небольшим увеличением численности СМСП. </w:t>
      </w:r>
    </w:p>
    <w:p w:rsidR="009C154F" w:rsidRPr="00781827" w:rsidRDefault="009C154F" w:rsidP="0078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81827">
        <w:rPr>
          <w:rFonts w:ascii="Times New Roman CYR" w:hAnsi="Times New Roman CYR" w:cs="Times New Roman CYR"/>
          <w:sz w:val="24"/>
          <w:szCs w:val="24"/>
        </w:rPr>
        <w:t>В прогнозируемом 202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3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году ожидается увеличение на </w:t>
      </w:r>
      <w:r w:rsidR="004644BA" w:rsidRPr="00781827"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Pr="00781827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единиц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ы</w:t>
      </w:r>
      <w:r w:rsidRPr="00781827">
        <w:rPr>
          <w:rFonts w:ascii="Times New Roman CYR" w:hAnsi="Times New Roman CYR" w:cs="Times New Roman CYR"/>
          <w:sz w:val="24"/>
          <w:szCs w:val="24"/>
        </w:rPr>
        <w:t>, в 202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4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году на 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2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единицы, в 202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5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году   на </w:t>
      </w:r>
      <w:r w:rsidR="004644BA" w:rsidRPr="00781827"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Pr="00781827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единиц</w:t>
      </w:r>
      <w:r w:rsidR="004644BA" w:rsidRPr="00781827">
        <w:rPr>
          <w:rFonts w:ascii="Times New Roman CYR" w:hAnsi="Times New Roman CYR" w:cs="Times New Roman CYR"/>
          <w:sz w:val="24"/>
          <w:szCs w:val="24"/>
        </w:rPr>
        <w:t>ы</w:t>
      </w:r>
      <w:r w:rsidRPr="00781827">
        <w:rPr>
          <w:rFonts w:ascii="Times New Roman CYR" w:hAnsi="Times New Roman CYR" w:cs="Times New Roman CYR"/>
          <w:sz w:val="24"/>
          <w:szCs w:val="24"/>
        </w:rPr>
        <w:t>. Увеличение планируется за счет снижения   численности населения.</w:t>
      </w:r>
    </w:p>
    <w:p w:rsidR="00F23C5D" w:rsidRPr="00781827" w:rsidRDefault="009C154F" w:rsidP="0078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81827">
        <w:rPr>
          <w:rFonts w:ascii="Times New Roman CYR" w:hAnsi="Times New Roman CYR" w:cs="Times New Roman CYR"/>
          <w:sz w:val="24"/>
          <w:szCs w:val="24"/>
        </w:rPr>
        <w:t xml:space="preserve">Структура </w:t>
      </w:r>
      <w:r w:rsidR="004644BA" w:rsidRPr="00781827">
        <w:rPr>
          <w:rFonts w:ascii="Times New Roman" w:hAnsi="Times New Roman"/>
          <w:iCs/>
          <w:sz w:val="24"/>
          <w:szCs w:val="24"/>
        </w:rPr>
        <w:t>субъектов малого и среднего предпринимательства</w:t>
      </w:r>
      <w:r w:rsidRPr="00781827">
        <w:rPr>
          <w:rFonts w:ascii="Times New Roman CYR" w:hAnsi="Times New Roman CYR" w:cs="Times New Roman CYR"/>
          <w:sz w:val="24"/>
          <w:szCs w:val="24"/>
        </w:rPr>
        <w:t xml:space="preserve"> по видам экономической деятельности в течение ряда лет остается практически не изменой. Отраслевое распределение малых предприятий характеризуется высокой долей предприятий розничной торговли. Торговля и сфера услуг являются наиболее предпочтительными для малых предприятий.  </w:t>
      </w:r>
    </w:p>
    <w:p w:rsidR="00FD42BF" w:rsidRPr="0089069A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75">
        <w:rPr>
          <w:rFonts w:ascii="Times New Roman" w:hAnsi="Times New Roman" w:cs="Times New Roman"/>
          <w:b/>
          <w:sz w:val="24"/>
          <w:szCs w:val="24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Pr="00890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1AB" w:rsidRPr="00781827" w:rsidRDefault="00231275" w:rsidP="0078182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B571D">
        <w:rPr>
          <w:rFonts w:ascii="Times New Roman CYR" w:hAnsi="Times New Roman CYR" w:cs="Times New Roman CYR"/>
          <w:sz w:val="24"/>
          <w:szCs w:val="24"/>
        </w:rPr>
        <w:lastRenderedPageBreak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году составила </w:t>
      </w:r>
      <w:r>
        <w:rPr>
          <w:rFonts w:ascii="Times New Roman CYR" w:hAnsi="Times New Roman CYR" w:cs="Times New Roman CYR"/>
          <w:sz w:val="24"/>
          <w:szCs w:val="24"/>
        </w:rPr>
        <w:t>17,0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%, что на </w:t>
      </w:r>
      <w:r>
        <w:rPr>
          <w:rFonts w:ascii="Times New Roman CYR" w:hAnsi="Times New Roman CYR" w:cs="Times New Roman CYR"/>
          <w:sz w:val="24"/>
          <w:szCs w:val="24"/>
        </w:rPr>
        <w:t>4,9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% </w:t>
      </w:r>
      <w:r>
        <w:rPr>
          <w:rFonts w:ascii="Times New Roman CYR" w:hAnsi="Times New Roman CYR" w:cs="Times New Roman CYR"/>
          <w:sz w:val="24"/>
          <w:szCs w:val="24"/>
        </w:rPr>
        <w:t>выше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по сравнению с 202</w:t>
      </w: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годом. </w:t>
      </w:r>
      <w:r>
        <w:rPr>
          <w:rFonts w:ascii="Times New Roman CYR" w:hAnsi="Times New Roman CYR" w:cs="Times New Roman CYR"/>
          <w:sz w:val="24"/>
          <w:szCs w:val="24"/>
        </w:rPr>
        <w:t xml:space="preserve"> Увеличение данного показателя связано с уменьшением среднесписочной численности работников крупных и средних предприятий на фоне незначительного роста ИП. Планируется,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что в 202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B571D">
        <w:rPr>
          <w:rFonts w:ascii="Times New Roman CYR" w:hAnsi="Times New Roman CYR" w:cs="Times New Roman CYR"/>
          <w:sz w:val="24"/>
          <w:szCs w:val="24"/>
        </w:rPr>
        <w:t xml:space="preserve">году </w:t>
      </w:r>
      <w:r>
        <w:rPr>
          <w:rFonts w:ascii="Times New Roman CYR" w:hAnsi="Times New Roman CYR" w:cs="Times New Roman CYR"/>
          <w:sz w:val="24"/>
          <w:szCs w:val="24"/>
        </w:rPr>
        <w:t xml:space="preserve">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последующие годы 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этот показатель </w:t>
      </w:r>
      <w:r>
        <w:rPr>
          <w:rFonts w:ascii="Times New Roman CYR" w:hAnsi="Times New Roman CYR" w:cs="Times New Roman CYR"/>
          <w:sz w:val="24"/>
          <w:szCs w:val="24"/>
        </w:rPr>
        <w:t xml:space="preserve">останется на уровне 2022 года, ввиду планируемого увеличения среднесписочной численности работников градообразующего предприятия. </w:t>
      </w:r>
      <w:r w:rsidRPr="005B571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B4621" w:rsidRPr="000B4621" w:rsidRDefault="00FD42BF" w:rsidP="007818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4621">
        <w:rPr>
          <w:rFonts w:ascii="Times New Roman" w:hAnsi="Times New Roman"/>
          <w:b/>
          <w:bCs/>
          <w:sz w:val="24"/>
          <w:szCs w:val="24"/>
        </w:rPr>
        <w:t>3. Объем инвестиций в основной капитал (за исключением бюджетных средств) в расчете на 1</w:t>
      </w:r>
      <w:r w:rsidR="000B4621" w:rsidRPr="000B4621">
        <w:rPr>
          <w:rFonts w:ascii="Times New Roman" w:hAnsi="Times New Roman"/>
          <w:b/>
          <w:bCs/>
          <w:sz w:val="24"/>
          <w:szCs w:val="24"/>
        </w:rPr>
        <w:t xml:space="preserve"> жителя </w:t>
      </w:r>
      <w:r w:rsidR="000B4621" w:rsidRPr="000B4621">
        <w:rPr>
          <w:rFonts w:ascii="Times New Roman" w:hAnsi="Times New Roman"/>
          <w:sz w:val="24"/>
          <w:szCs w:val="24"/>
        </w:rPr>
        <w:t xml:space="preserve">в 2022 году составил </w:t>
      </w:r>
      <w:r w:rsidR="000B4621" w:rsidRPr="000B4621">
        <w:rPr>
          <w:rFonts w:ascii="Times New Roman" w:hAnsi="Times New Roman"/>
          <w:sz w:val="24"/>
          <w:szCs w:val="24"/>
        </w:rPr>
        <w:br/>
        <w:t xml:space="preserve">42 645,3  рублей, что ниже уровня 2021 года на 29 436,1 рублей, таким образом, темп роста составил 59,2%. Снижение инвестиционной активности связано </w:t>
      </w:r>
      <w:r w:rsidR="000B4621" w:rsidRPr="000B4621">
        <w:rPr>
          <w:rFonts w:ascii="Times New Roman" w:hAnsi="Times New Roman"/>
          <w:sz w:val="24"/>
          <w:szCs w:val="24"/>
        </w:rPr>
        <w:br/>
        <w:t xml:space="preserve">с завершением в 2021 году </w:t>
      </w:r>
      <w:proofErr w:type="gramStart"/>
      <w:r w:rsidR="000B4621" w:rsidRPr="000B4621">
        <w:rPr>
          <w:rFonts w:ascii="Times New Roman" w:hAnsi="Times New Roman"/>
          <w:sz w:val="24"/>
          <w:szCs w:val="24"/>
        </w:rPr>
        <w:t>филиалом  «</w:t>
      </w:r>
      <w:proofErr w:type="gramEnd"/>
      <w:r w:rsidR="000B4621" w:rsidRPr="000B4621">
        <w:rPr>
          <w:rFonts w:ascii="Times New Roman" w:hAnsi="Times New Roman"/>
          <w:sz w:val="24"/>
          <w:szCs w:val="24"/>
        </w:rPr>
        <w:t>Яйвинская ГРЭС» ПАО «</w:t>
      </w:r>
      <w:proofErr w:type="spellStart"/>
      <w:r w:rsidR="000B4621" w:rsidRPr="000B4621">
        <w:rPr>
          <w:rFonts w:ascii="Times New Roman" w:hAnsi="Times New Roman"/>
          <w:sz w:val="24"/>
          <w:szCs w:val="24"/>
        </w:rPr>
        <w:t>Юнипро</w:t>
      </w:r>
      <w:proofErr w:type="spellEnd"/>
      <w:r w:rsidR="000B4621" w:rsidRPr="000B4621">
        <w:rPr>
          <w:rFonts w:ascii="Times New Roman" w:hAnsi="Times New Roman"/>
          <w:sz w:val="24"/>
          <w:szCs w:val="24"/>
        </w:rPr>
        <w:t xml:space="preserve">»  работ по модернизации блока № 5, </w:t>
      </w:r>
      <w:r w:rsidR="001C2371">
        <w:rPr>
          <w:rFonts w:ascii="Times New Roman" w:hAnsi="Times New Roman"/>
          <w:sz w:val="24"/>
          <w:szCs w:val="24"/>
        </w:rPr>
        <w:t xml:space="preserve">общий </w:t>
      </w:r>
      <w:r w:rsidR="000B4621" w:rsidRPr="000B4621">
        <w:rPr>
          <w:rFonts w:ascii="Times New Roman" w:hAnsi="Times New Roman"/>
          <w:sz w:val="24"/>
          <w:szCs w:val="24"/>
        </w:rPr>
        <w:t>объем инвестиций составил 1747,0 млн. руб.</w:t>
      </w:r>
    </w:p>
    <w:p w:rsidR="001C2371" w:rsidRDefault="001C2371" w:rsidP="00781827">
      <w:pPr>
        <w:pStyle w:val="a3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2371">
        <w:rPr>
          <w:rFonts w:ascii="Times New Roman" w:eastAsia="SimSun" w:hAnsi="Times New Roman" w:cs="Times New Roman"/>
          <w:sz w:val="24"/>
          <w:szCs w:val="24"/>
        </w:rPr>
        <w:t xml:space="preserve">В плановом периоде, в соответствии с представленными организациями сведениями для формирования прогноза социально-экономического </w:t>
      </w:r>
      <w:r w:rsidRPr="001C2371">
        <w:rPr>
          <w:rFonts w:ascii="Times New Roman" w:hAnsi="Times New Roman" w:cs="Times New Roman"/>
          <w:sz w:val="24"/>
          <w:szCs w:val="24"/>
        </w:rPr>
        <w:t>развития Александровского муниципального округа Пермского края на 2023 год и на плановый период 2024-2025 годов,</w:t>
      </w:r>
      <w:r w:rsidRPr="001C2371">
        <w:rPr>
          <w:rFonts w:ascii="Times New Roman" w:eastAsia="SimSun" w:hAnsi="Times New Roman" w:cs="Times New Roman"/>
          <w:sz w:val="24"/>
          <w:szCs w:val="24"/>
        </w:rPr>
        <w:t xml:space="preserve"> ожидается увеличения показателя до 50000,0 рублей к 2024 году, и снижения до 36000,0 рублей к 2025 году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C2371" w:rsidRPr="0089069A" w:rsidRDefault="001C2371" w:rsidP="00781827">
      <w:pPr>
        <w:pStyle w:val="a3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Увеличение объема инвестиций в 2023, 2024 годах планируется за счет ввода в действие основных фондов ОАО «АМЗ» в сумме 400,0 млн. рублей и 660,0 млн.</w:t>
      </w:r>
      <w:r w:rsidR="001A01AB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рублей соответственно. </w:t>
      </w:r>
    </w:p>
    <w:p w:rsidR="00A33570" w:rsidRPr="00781827" w:rsidRDefault="00045805" w:rsidP="0078182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4"/>
          <w:szCs w:val="24"/>
        </w:rPr>
      </w:pPr>
      <w:r w:rsidRPr="001A01AB">
        <w:rPr>
          <w:rFonts w:ascii="Times New Roman CYR" w:hAnsi="Times New Roman CYR" w:cs="Times New Roman CYR"/>
          <w:sz w:val="24"/>
          <w:szCs w:val="24"/>
        </w:rPr>
        <w:t xml:space="preserve">На территории </w:t>
      </w:r>
      <w:r w:rsidR="001A01AB" w:rsidRPr="001A01AB">
        <w:rPr>
          <w:rFonts w:ascii="Times New Roman CYR" w:hAnsi="Times New Roman CYR" w:cs="Times New Roman CYR"/>
          <w:sz w:val="24"/>
          <w:szCs w:val="24"/>
        </w:rPr>
        <w:t>округа</w:t>
      </w:r>
      <w:r w:rsidRPr="001A01AB">
        <w:rPr>
          <w:rFonts w:ascii="Times New Roman CYR" w:hAnsi="Times New Roman CYR" w:cs="Times New Roman CYR"/>
          <w:sz w:val="24"/>
          <w:szCs w:val="24"/>
        </w:rPr>
        <w:t xml:space="preserve"> инвестиционные проекты не реализуются.</w:t>
      </w:r>
    </w:p>
    <w:p w:rsidR="00FD42BF" w:rsidRPr="0089069A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eastAsia="SimSun" w:hAnsi="Times New Roman" w:cs="Times New Roman"/>
          <w:b/>
          <w:sz w:val="24"/>
          <w:szCs w:val="24"/>
        </w:rPr>
        <w:t xml:space="preserve">4. </w:t>
      </w: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</w:p>
    <w:p w:rsidR="00F23C5D" w:rsidRPr="00781827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>Показатель имеет стабильную тенденцию и в последующие годы будет иметь значение на уровне предыдущих лет.</w:t>
      </w:r>
    </w:p>
    <w:p w:rsidR="00FD42BF" w:rsidRPr="0089069A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Доля прибыльных сельскохозяйственных организаций в общем их числе. </w:t>
      </w:r>
    </w:p>
    <w:p w:rsidR="00F23C5D" w:rsidRPr="00781827" w:rsidRDefault="00FD42BF" w:rsidP="007818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>Александровский муниципальный округ не относится к числу территорий, где развито сельское хозяйство. На территории муниципального образования зарегистрировано 4 юридических лица, которые входят в сферу агропромышленного комплекса. Фактически осуществляет свою деятельность 1 организация – ООО «</w:t>
      </w:r>
      <w:proofErr w:type="spellStart"/>
      <w:r w:rsidRPr="0089069A">
        <w:rPr>
          <w:rFonts w:ascii="Times New Roman" w:hAnsi="Times New Roman" w:cs="Times New Roman"/>
          <w:sz w:val="24"/>
          <w:szCs w:val="24"/>
        </w:rPr>
        <w:t>Яйвинское</w:t>
      </w:r>
      <w:proofErr w:type="spellEnd"/>
      <w:r w:rsidRPr="0089069A">
        <w:rPr>
          <w:rFonts w:ascii="Times New Roman" w:hAnsi="Times New Roman" w:cs="Times New Roman"/>
          <w:sz w:val="24"/>
          <w:szCs w:val="24"/>
        </w:rPr>
        <w:t xml:space="preserve"> рыбное хозяйство». Соответственно, доля прибыльных сельскохозяйственных организаций в общем их числе составляет 0%. Аналогичная тенденция будет характерна и для последующего трехлетнего периода.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Общая протяженность автомобильных дорог общего пользования местного значения в</w:t>
      </w:r>
      <w:r w:rsidRPr="0089069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округе</w:t>
      </w:r>
      <w:r w:rsidRPr="0089069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составляет 366,8 километров.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202</w:t>
      </w:r>
      <w:r w:rsidR="00B73CE4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</w:t>
      </w:r>
      <w:r w:rsidR="000A6A6F">
        <w:rPr>
          <w:rFonts w:ascii="Times New Roman" w:hAnsi="Times New Roman"/>
          <w:sz w:val="24"/>
          <w:szCs w:val="24"/>
        </w:rPr>
        <w:t>66,05</w:t>
      </w:r>
      <w:r w:rsidRPr="0089069A">
        <w:rPr>
          <w:rFonts w:ascii="Times New Roman" w:hAnsi="Times New Roman"/>
          <w:sz w:val="24"/>
          <w:szCs w:val="24"/>
        </w:rPr>
        <w:t xml:space="preserve"> % против </w:t>
      </w:r>
      <w:r w:rsidR="000A6A6F">
        <w:rPr>
          <w:rFonts w:ascii="Times New Roman" w:hAnsi="Times New Roman"/>
          <w:sz w:val="24"/>
          <w:szCs w:val="24"/>
        </w:rPr>
        <w:t>70,6</w:t>
      </w:r>
      <w:r w:rsidRPr="0089069A">
        <w:rPr>
          <w:rFonts w:ascii="Times New Roman" w:hAnsi="Times New Roman"/>
          <w:sz w:val="24"/>
          <w:szCs w:val="24"/>
        </w:rPr>
        <w:t>% в 202</w:t>
      </w:r>
      <w:r w:rsidR="000A6A6F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году. Улучшение показателя достигнуто за счет проведения в 202</w:t>
      </w:r>
      <w:r w:rsidR="000A6A6F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году работ по приведению автомобильных дорог общего пользования местного значения в нормативное состояние за счет средств краевого и местного бюджетов.</w:t>
      </w:r>
    </w:p>
    <w:p w:rsidR="00F23C5D" w:rsidRPr="00781827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Мероприятия по ремонту дорожной сети позволят уменьшить </w:t>
      </w:r>
      <w:r w:rsidR="00BC6047" w:rsidRPr="0089069A">
        <w:rPr>
          <w:rFonts w:ascii="Times New Roman" w:hAnsi="Times New Roman"/>
          <w:sz w:val="24"/>
          <w:szCs w:val="24"/>
        </w:rPr>
        <w:t>долю протяженности автомобильных дорог общего пользования местного значения,</w:t>
      </w:r>
      <w:r w:rsidRPr="0089069A">
        <w:rPr>
          <w:rFonts w:ascii="Times New Roman" w:hAnsi="Times New Roman"/>
          <w:sz w:val="24"/>
          <w:szCs w:val="24"/>
        </w:rPr>
        <w:t xml:space="preserve"> не отвечающих нормативным требованиям к 202</w:t>
      </w:r>
      <w:r w:rsidR="000A6A6F">
        <w:rPr>
          <w:rFonts w:ascii="Times New Roman" w:hAnsi="Times New Roman"/>
          <w:sz w:val="24"/>
          <w:szCs w:val="24"/>
        </w:rPr>
        <w:t>5</w:t>
      </w:r>
      <w:r w:rsidRPr="0089069A">
        <w:rPr>
          <w:rFonts w:ascii="Times New Roman" w:hAnsi="Times New Roman"/>
          <w:sz w:val="24"/>
          <w:szCs w:val="24"/>
        </w:rPr>
        <w:t xml:space="preserve"> году до </w:t>
      </w:r>
      <w:r w:rsidR="000A6A6F">
        <w:rPr>
          <w:rFonts w:ascii="Times New Roman" w:hAnsi="Times New Roman"/>
          <w:sz w:val="24"/>
          <w:szCs w:val="24"/>
        </w:rPr>
        <w:t>58,3</w:t>
      </w:r>
      <w:r w:rsidRPr="0089069A">
        <w:rPr>
          <w:rFonts w:ascii="Times New Roman" w:hAnsi="Times New Roman"/>
          <w:sz w:val="24"/>
          <w:szCs w:val="24"/>
        </w:rPr>
        <w:t xml:space="preserve"> %.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В Александровском муниципальном округе расположено 38 населенных пунктов, из которых </w:t>
      </w:r>
      <w:r w:rsidRPr="0061393F">
        <w:rPr>
          <w:rFonts w:ascii="Times New Roman" w:hAnsi="Times New Roman"/>
          <w:sz w:val="24"/>
          <w:szCs w:val="24"/>
        </w:rPr>
        <w:t>в 29 нет</w:t>
      </w:r>
      <w:r w:rsidRPr="0089069A">
        <w:rPr>
          <w:rFonts w:ascii="Times New Roman" w:hAnsi="Times New Roman"/>
          <w:sz w:val="24"/>
          <w:szCs w:val="24"/>
        </w:rPr>
        <w:t xml:space="preserve"> регулярного транспортного сообщения. К числу таких населенных пунктов относятся сельские территории, где число проживающих граждан достаточно незначительно, либо отсутствует. 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202</w:t>
      </w:r>
      <w:r w:rsidR="000A6A6F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8E6E69">
        <w:rPr>
          <w:rFonts w:ascii="Times New Roman" w:hAnsi="Times New Roman"/>
          <w:sz w:val="24"/>
          <w:szCs w:val="24"/>
        </w:rPr>
        <w:t>оду</w:t>
      </w:r>
      <w:r w:rsidRPr="0089069A">
        <w:rPr>
          <w:rFonts w:ascii="Times New Roman" w:hAnsi="Times New Roman"/>
          <w:sz w:val="24"/>
          <w:szCs w:val="24"/>
        </w:rPr>
        <w:t>, как и в предыдущие периоды, администрацией округа было организовано обслуживание социально значимых маршрутов (</w:t>
      </w:r>
      <w:r w:rsidR="000A6A6F" w:rsidRPr="003B3438">
        <w:rPr>
          <w:rFonts w:ascii="Times New Roman" w:hAnsi="Times New Roman"/>
          <w:sz w:val="24"/>
          <w:szCs w:val="24"/>
        </w:rPr>
        <w:t xml:space="preserve">г. Александровск– </w:t>
      </w:r>
      <w:proofErr w:type="spellStart"/>
      <w:r w:rsidR="000A6A6F" w:rsidRPr="003B3438">
        <w:rPr>
          <w:rFonts w:ascii="Times New Roman" w:hAnsi="Times New Roman"/>
          <w:sz w:val="24"/>
          <w:szCs w:val="24"/>
        </w:rPr>
        <w:t>с.Усть-Игум</w:t>
      </w:r>
      <w:proofErr w:type="spellEnd"/>
      <w:r w:rsidR="000A6A6F" w:rsidRPr="003B3438">
        <w:rPr>
          <w:rFonts w:ascii="Times New Roman" w:hAnsi="Times New Roman"/>
          <w:sz w:val="24"/>
          <w:szCs w:val="24"/>
        </w:rPr>
        <w:t xml:space="preserve">, г. Александровск – </w:t>
      </w:r>
      <w:r w:rsidR="000A6A6F" w:rsidRPr="003B3438">
        <w:rPr>
          <w:rFonts w:ascii="Times New Roman" w:hAnsi="Times New Roman"/>
          <w:sz w:val="24"/>
          <w:szCs w:val="24"/>
        </w:rPr>
        <w:lastRenderedPageBreak/>
        <w:t>п. Ск</w:t>
      </w:r>
      <w:r w:rsidR="000A6A6F">
        <w:rPr>
          <w:rFonts w:ascii="Times New Roman" w:hAnsi="Times New Roman"/>
          <w:sz w:val="24"/>
          <w:szCs w:val="24"/>
        </w:rPr>
        <w:t xml:space="preserve">опкортная, </w:t>
      </w:r>
      <w:proofErr w:type="spellStart"/>
      <w:r w:rsidR="000A6A6F">
        <w:rPr>
          <w:rFonts w:ascii="Times New Roman" w:hAnsi="Times New Roman"/>
          <w:sz w:val="24"/>
          <w:szCs w:val="24"/>
        </w:rPr>
        <w:t>р.п.Яйва</w:t>
      </w:r>
      <w:proofErr w:type="spellEnd"/>
      <w:r w:rsidR="000A6A6F">
        <w:rPr>
          <w:rFonts w:ascii="Times New Roman" w:hAnsi="Times New Roman"/>
          <w:sz w:val="24"/>
          <w:szCs w:val="24"/>
        </w:rPr>
        <w:t xml:space="preserve"> - г. Александровск с заездом в п. </w:t>
      </w:r>
      <w:proofErr w:type="spellStart"/>
      <w:r w:rsidR="000A6A6F">
        <w:rPr>
          <w:rFonts w:ascii="Times New Roman" w:hAnsi="Times New Roman"/>
          <w:sz w:val="24"/>
          <w:szCs w:val="24"/>
        </w:rPr>
        <w:t>Ивакинский</w:t>
      </w:r>
      <w:proofErr w:type="spellEnd"/>
      <w:r w:rsidR="000A6A6F">
        <w:rPr>
          <w:rFonts w:ascii="Times New Roman" w:hAnsi="Times New Roman"/>
          <w:sz w:val="24"/>
          <w:szCs w:val="24"/>
        </w:rPr>
        <w:t xml:space="preserve"> Карьер, г. Александровск – п. </w:t>
      </w:r>
      <w:proofErr w:type="spellStart"/>
      <w:r w:rsidR="000A6A6F">
        <w:rPr>
          <w:rFonts w:ascii="Times New Roman" w:hAnsi="Times New Roman"/>
          <w:sz w:val="24"/>
          <w:szCs w:val="24"/>
        </w:rPr>
        <w:t>Всеволодо</w:t>
      </w:r>
      <w:proofErr w:type="spellEnd"/>
      <w:r w:rsidR="000A6A6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A6A6F">
        <w:rPr>
          <w:rFonts w:ascii="Times New Roman" w:hAnsi="Times New Roman"/>
          <w:sz w:val="24"/>
          <w:szCs w:val="24"/>
        </w:rPr>
        <w:t>Вильва</w:t>
      </w:r>
      <w:proofErr w:type="spellEnd"/>
      <w:r w:rsidR="000A6A6F">
        <w:rPr>
          <w:rFonts w:ascii="Times New Roman" w:hAnsi="Times New Roman"/>
          <w:sz w:val="24"/>
          <w:szCs w:val="24"/>
        </w:rPr>
        <w:t xml:space="preserve">, </w:t>
      </w:r>
      <w:r w:rsidR="000A6A6F" w:rsidRPr="003B3438">
        <w:rPr>
          <w:rFonts w:ascii="Times New Roman" w:hAnsi="Times New Roman"/>
          <w:sz w:val="24"/>
          <w:szCs w:val="24"/>
        </w:rPr>
        <w:t>г. Алекс</w:t>
      </w:r>
      <w:r w:rsidR="000A6A6F">
        <w:rPr>
          <w:rFonts w:ascii="Times New Roman" w:hAnsi="Times New Roman"/>
          <w:sz w:val="24"/>
          <w:szCs w:val="24"/>
        </w:rPr>
        <w:t xml:space="preserve">андровск – п. Луньевка, </w:t>
      </w:r>
      <w:r w:rsidR="000A6A6F" w:rsidRPr="003B3438">
        <w:rPr>
          <w:rFonts w:ascii="Times New Roman" w:hAnsi="Times New Roman"/>
          <w:sz w:val="24"/>
          <w:szCs w:val="24"/>
        </w:rPr>
        <w:t>г. Алекс</w:t>
      </w:r>
      <w:r w:rsidR="000A6A6F">
        <w:rPr>
          <w:rFonts w:ascii="Times New Roman" w:hAnsi="Times New Roman"/>
          <w:sz w:val="24"/>
          <w:szCs w:val="24"/>
        </w:rPr>
        <w:t>андровск – п. Лытвенский</w:t>
      </w:r>
      <w:r w:rsidRPr="0089069A">
        <w:rPr>
          <w:rFonts w:ascii="Times New Roman" w:hAnsi="Times New Roman"/>
          <w:sz w:val="24"/>
          <w:szCs w:val="24"/>
        </w:rPr>
        <w:t>). Транспортное обслуживание пассажиров будет продолжено и в прогнозируемом периоде.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Общая численность населения, зарегистрированных  в населенных пунктах, не имеющих регулярного автобусного сообщения с административным центром муниципального округа, в 202</w:t>
      </w:r>
      <w:r w:rsidR="000A6A6F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8E6E69">
        <w:rPr>
          <w:rFonts w:ascii="Times New Roman" w:hAnsi="Times New Roman"/>
          <w:sz w:val="24"/>
          <w:szCs w:val="24"/>
        </w:rPr>
        <w:t xml:space="preserve">оду </w:t>
      </w:r>
      <w:r w:rsidRPr="0089069A">
        <w:rPr>
          <w:rFonts w:ascii="Times New Roman" w:hAnsi="Times New Roman"/>
          <w:sz w:val="24"/>
          <w:szCs w:val="24"/>
        </w:rPr>
        <w:t xml:space="preserve"> составила </w:t>
      </w:r>
      <w:r w:rsidR="000A6A6F">
        <w:rPr>
          <w:rFonts w:ascii="Times New Roman" w:hAnsi="Times New Roman"/>
          <w:sz w:val="24"/>
          <w:szCs w:val="24"/>
        </w:rPr>
        <w:t>175</w:t>
      </w:r>
      <w:r w:rsidRPr="0089069A">
        <w:rPr>
          <w:rFonts w:ascii="Times New Roman" w:hAnsi="Times New Roman"/>
          <w:sz w:val="24"/>
          <w:szCs w:val="24"/>
        </w:rPr>
        <w:t xml:space="preserve"> человек, или </w:t>
      </w:r>
      <w:r w:rsidR="0061393F">
        <w:rPr>
          <w:rFonts w:ascii="Times New Roman" w:hAnsi="Times New Roman"/>
          <w:sz w:val="24"/>
          <w:szCs w:val="24"/>
        </w:rPr>
        <w:t>0,76</w:t>
      </w:r>
      <w:r w:rsidRPr="0089069A">
        <w:rPr>
          <w:rFonts w:ascii="Times New Roman" w:hAnsi="Times New Roman"/>
          <w:sz w:val="24"/>
          <w:szCs w:val="24"/>
        </w:rPr>
        <w:t xml:space="preserve"> % к среднегодовой численности населения</w:t>
      </w:r>
      <w:r w:rsidRPr="0089069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округа. Сокращение доли населения,</w:t>
      </w:r>
      <w:r w:rsidRPr="0089069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проживающего</w:t>
      </w:r>
      <w:r w:rsidRPr="0089069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в населенных пунктах, не имеющих регулярного автобусного сообщения с административным центром к 202</w:t>
      </w:r>
      <w:r w:rsidR="000F29BB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году (от </w:t>
      </w:r>
      <w:r w:rsidR="000F29BB">
        <w:rPr>
          <w:rFonts w:ascii="Times New Roman" w:hAnsi="Times New Roman"/>
          <w:sz w:val="24"/>
          <w:szCs w:val="24"/>
        </w:rPr>
        <w:t>0,85</w:t>
      </w:r>
      <w:r w:rsidRPr="0089069A">
        <w:rPr>
          <w:rFonts w:ascii="Times New Roman" w:hAnsi="Times New Roman"/>
          <w:sz w:val="24"/>
          <w:szCs w:val="24"/>
        </w:rPr>
        <w:t>% до 0</w:t>
      </w:r>
      <w:r w:rsidR="000F29BB">
        <w:rPr>
          <w:rFonts w:ascii="Times New Roman" w:hAnsi="Times New Roman"/>
          <w:sz w:val="24"/>
          <w:szCs w:val="24"/>
        </w:rPr>
        <w:t>,</w:t>
      </w:r>
      <w:r w:rsidR="0061393F">
        <w:rPr>
          <w:rFonts w:ascii="Times New Roman" w:hAnsi="Times New Roman"/>
          <w:sz w:val="24"/>
          <w:szCs w:val="24"/>
        </w:rPr>
        <w:t>76%</w:t>
      </w:r>
      <w:r w:rsidRPr="0089069A">
        <w:rPr>
          <w:rFonts w:ascii="Times New Roman" w:hAnsi="Times New Roman"/>
          <w:sz w:val="24"/>
          <w:szCs w:val="24"/>
        </w:rPr>
        <w:t>), произошло вследствие сокращения</w:t>
      </w:r>
      <w:r w:rsidRPr="0089069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количества проживающих в населенных пунктах, не имеющих автобусного сообщения.</w:t>
      </w:r>
    </w:p>
    <w:p w:rsidR="00F23C5D" w:rsidRPr="00781827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202</w:t>
      </w:r>
      <w:r w:rsidR="000F29BB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 xml:space="preserve"> году и последующие годы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округа, в общей численности населения муниципального округа, предположительно, составит  0,1 % в том числе за счет переселения жителей  в рамках программных мероприятий из труднодоступных, отдаленных и  малочисленных населенных пунктов.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8. Среднемесячная номинальная начисленная заработная плата работников. 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>На крупных и средних предприятиях и некоммерческих организациях среднемесячная начисленная заработная плата работников по итогам 202</w:t>
      </w:r>
      <w:r w:rsidR="000F29BB" w:rsidRPr="0061393F">
        <w:rPr>
          <w:rFonts w:ascii="Times New Roman" w:hAnsi="Times New Roman"/>
          <w:sz w:val="24"/>
          <w:szCs w:val="24"/>
        </w:rPr>
        <w:t>2</w:t>
      </w:r>
      <w:r w:rsidRPr="0061393F">
        <w:rPr>
          <w:rFonts w:ascii="Times New Roman" w:hAnsi="Times New Roman"/>
          <w:sz w:val="24"/>
          <w:szCs w:val="24"/>
        </w:rPr>
        <w:t xml:space="preserve"> г</w:t>
      </w:r>
      <w:r w:rsidR="0061393F" w:rsidRPr="0061393F">
        <w:rPr>
          <w:rFonts w:ascii="Times New Roman" w:hAnsi="Times New Roman"/>
          <w:sz w:val="24"/>
          <w:szCs w:val="24"/>
        </w:rPr>
        <w:t>ода</w:t>
      </w:r>
      <w:r w:rsidRPr="0061393F">
        <w:rPr>
          <w:rFonts w:ascii="Times New Roman" w:hAnsi="Times New Roman"/>
          <w:sz w:val="24"/>
          <w:szCs w:val="24"/>
        </w:rPr>
        <w:t xml:space="preserve"> составила </w:t>
      </w:r>
      <w:r w:rsidR="000F29BB" w:rsidRPr="0061393F">
        <w:rPr>
          <w:rFonts w:ascii="Times New Roman" w:hAnsi="Times New Roman"/>
          <w:sz w:val="24"/>
          <w:szCs w:val="24"/>
        </w:rPr>
        <w:t>41 346,6</w:t>
      </w:r>
      <w:r w:rsidRPr="0061393F">
        <w:rPr>
          <w:rFonts w:ascii="Times New Roman" w:hAnsi="Times New Roman"/>
          <w:sz w:val="24"/>
          <w:szCs w:val="24"/>
        </w:rPr>
        <w:t xml:space="preserve"> руб</w:t>
      </w:r>
      <w:r w:rsidR="0061393F" w:rsidRPr="0061393F">
        <w:rPr>
          <w:rFonts w:ascii="Times New Roman" w:hAnsi="Times New Roman"/>
          <w:sz w:val="24"/>
          <w:szCs w:val="24"/>
        </w:rPr>
        <w:t>лей</w:t>
      </w:r>
      <w:r w:rsidRPr="0061393F">
        <w:rPr>
          <w:rFonts w:ascii="Times New Roman" w:hAnsi="Times New Roman"/>
          <w:sz w:val="24"/>
          <w:szCs w:val="24"/>
        </w:rPr>
        <w:t>, (в 202</w:t>
      </w:r>
      <w:r w:rsidR="000F29BB" w:rsidRPr="0061393F">
        <w:rPr>
          <w:rFonts w:ascii="Times New Roman" w:hAnsi="Times New Roman"/>
          <w:sz w:val="24"/>
          <w:szCs w:val="24"/>
        </w:rPr>
        <w:t>1</w:t>
      </w:r>
      <w:r w:rsidRPr="0061393F">
        <w:rPr>
          <w:rFonts w:ascii="Times New Roman" w:hAnsi="Times New Roman"/>
          <w:sz w:val="24"/>
          <w:szCs w:val="24"/>
        </w:rPr>
        <w:t xml:space="preserve"> г</w:t>
      </w:r>
      <w:r w:rsidR="0061393F" w:rsidRPr="0061393F">
        <w:rPr>
          <w:rFonts w:ascii="Times New Roman" w:hAnsi="Times New Roman"/>
          <w:sz w:val="24"/>
          <w:szCs w:val="24"/>
        </w:rPr>
        <w:t>оду -</w:t>
      </w:r>
      <w:r w:rsidRPr="0061393F">
        <w:rPr>
          <w:rFonts w:ascii="Times New Roman" w:hAnsi="Times New Roman"/>
          <w:sz w:val="24"/>
          <w:szCs w:val="24"/>
        </w:rPr>
        <w:t xml:space="preserve"> </w:t>
      </w:r>
      <w:r w:rsidR="000F29BB" w:rsidRPr="0061393F">
        <w:rPr>
          <w:rFonts w:ascii="Times New Roman" w:hAnsi="Times New Roman"/>
          <w:sz w:val="24"/>
          <w:szCs w:val="24"/>
        </w:rPr>
        <w:t>36 505,9</w:t>
      </w:r>
      <w:r w:rsidRPr="0061393F">
        <w:rPr>
          <w:rFonts w:ascii="Times New Roman" w:hAnsi="Times New Roman"/>
          <w:sz w:val="24"/>
          <w:szCs w:val="24"/>
        </w:rPr>
        <w:t xml:space="preserve"> руб</w:t>
      </w:r>
      <w:r w:rsidR="0061393F" w:rsidRPr="0061393F">
        <w:rPr>
          <w:rFonts w:ascii="Times New Roman" w:hAnsi="Times New Roman"/>
          <w:sz w:val="24"/>
          <w:szCs w:val="24"/>
        </w:rPr>
        <w:t>лей</w:t>
      </w:r>
      <w:r w:rsidRPr="0061393F">
        <w:rPr>
          <w:rFonts w:ascii="Times New Roman" w:hAnsi="Times New Roman"/>
          <w:sz w:val="24"/>
          <w:szCs w:val="24"/>
        </w:rPr>
        <w:t xml:space="preserve">), по сравнению с уровнем </w:t>
      </w:r>
      <w:r w:rsidR="0061393F" w:rsidRPr="0061393F">
        <w:rPr>
          <w:rFonts w:ascii="Times New Roman" w:hAnsi="Times New Roman"/>
          <w:sz w:val="24"/>
          <w:szCs w:val="24"/>
        </w:rPr>
        <w:t>прошлого года</w:t>
      </w:r>
      <w:r w:rsidRPr="0061393F">
        <w:rPr>
          <w:rFonts w:ascii="Times New Roman" w:hAnsi="Times New Roman"/>
          <w:sz w:val="24"/>
          <w:szCs w:val="24"/>
        </w:rPr>
        <w:t xml:space="preserve"> увеличившись на </w:t>
      </w:r>
      <w:r w:rsidR="000F29BB" w:rsidRPr="0061393F">
        <w:rPr>
          <w:rFonts w:ascii="Times New Roman" w:hAnsi="Times New Roman"/>
          <w:sz w:val="24"/>
          <w:szCs w:val="24"/>
        </w:rPr>
        <w:t>13,3</w:t>
      </w:r>
      <w:r w:rsidRPr="0061393F">
        <w:rPr>
          <w:rFonts w:ascii="Times New Roman" w:hAnsi="Times New Roman"/>
          <w:sz w:val="24"/>
          <w:szCs w:val="24"/>
        </w:rPr>
        <w:t xml:space="preserve">%. 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>Продолжено исполнение Указа Президента Российской Федерации от 07.05.2012 № 597 «О мероприятиях по реализации государственной социальной политики», позволившее увеличить в 202</w:t>
      </w:r>
      <w:r w:rsidR="00F83CCB" w:rsidRPr="0061393F">
        <w:rPr>
          <w:rFonts w:ascii="Times New Roman" w:hAnsi="Times New Roman"/>
          <w:sz w:val="24"/>
          <w:szCs w:val="24"/>
        </w:rPr>
        <w:t>2</w:t>
      </w:r>
      <w:r w:rsidRPr="0061393F">
        <w:rPr>
          <w:rFonts w:ascii="Times New Roman" w:hAnsi="Times New Roman"/>
          <w:sz w:val="24"/>
          <w:szCs w:val="24"/>
        </w:rPr>
        <w:t xml:space="preserve"> г. заработную плату работникам бюджетной сферы: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>в дошкольных образовательных учреждениях – на 11,</w:t>
      </w:r>
      <w:r w:rsidR="00E5231F" w:rsidRPr="0061393F">
        <w:rPr>
          <w:rFonts w:ascii="Times New Roman" w:hAnsi="Times New Roman"/>
          <w:sz w:val="24"/>
          <w:szCs w:val="24"/>
        </w:rPr>
        <w:t>2</w:t>
      </w:r>
      <w:r w:rsidRPr="0061393F">
        <w:rPr>
          <w:rFonts w:ascii="Times New Roman" w:hAnsi="Times New Roman"/>
          <w:sz w:val="24"/>
          <w:szCs w:val="24"/>
        </w:rPr>
        <w:t>%;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 xml:space="preserve">в общеобразовательных учреждениях – на </w:t>
      </w:r>
      <w:r w:rsidR="00E5231F" w:rsidRPr="0061393F">
        <w:rPr>
          <w:rFonts w:ascii="Times New Roman" w:hAnsi="Times New Roman"/>
          <w:sz w:val="24"/>
          <w:szCs w:val="24"/>
        </w:rPr>
        <w:t>8,9</w:t>
      </w:r>
      <w:r w:rsidRPr="0061393F">
        <w:rPr>
          <w:rFonts w:ascii="Times New Roman" w:hAnsi="Times New Roman"/>
          <w:sz w:val="24"/>
          <w:szCs w:val="24"/>
        </w:rPr>
        <w:t>%;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 xml:space="preserve">в учреждениях культуры и искусства – на </w:t>
      </w:r>
      <w:r w:rsidR="00F83CCB" w:rsidRPr="0061393F">
        <w:rPr>
          <w:rFonts w:ascii="Times New Roman" w:hAnsi="Times New Roman"/>
          <w:sz w:val="24"/>
          <w:szCs w:val="24"/>
        </w:rPr>
        <w:t>3</w:t>
      </w:r>
      <w:r w:rsidR="00E5231F" w:rsidRPr="0061393F">
        <w:rPr>
          <w:rFonts w:ascii="Times New Roman" w:hAnsi="Times New Roman"/>
          <w:sz w:val="24"/>
          <w:szCs w:val="24"/>
        </w:rPr>
        <w:t>6,</w:t>
      </w:r>
      <w:r w:rsidR="00F83CCB" w:rsidRPr="0061393F">
        <w:rPr>
          <w:rFonts w:ascii="Times New Roman" w:hAnsi="Times New Roman"/>
          <w:sz w:val="24"/>
          <w:szCs w:val="24"/>
        </w:rPr>
        <w:t>1</w:t>
      </w:r>
      <w:r w:rsidRPr="0061393F">
        <w:rPr>
          <w:rFonts w:ascii="Times New Roman" w:hAnsi="Times New Roman"/>
          <w:sz w:val="24"/>
          <w:szCs w:val="24"/>
        </w:rPr>
        <w:t>%;</w:t>
      </w:r>
    </w:p>
    <w:p w:rsidR="00FD42BF" w:rsidRPr="0061393F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93F">
        <w:rPr>
          <w:rFonts w:ascii="Times New Roman" w:hAnsi="Times New Roman"/>
          <w:sz w:val="24"/>
          <w:szCs w:val="24"/>
        </w:rPr>
        <w:t xml:space="preserve">в учреждениях физической культуры и спорта – на </w:t>
      </w:r>
      <w:r w:rsidR="00F83CCB" w:rsidRPr="0061393F">
        <w:rPr>
          <w:rFonts w:ascii="Times New Roman" w:hAnsi="Times New Roman"/>
          <w:sz w:val="24"/>
          <w:szCs w:val="24"/>
        </w:rPr>
        <w:t>15,3</w:t>
      </w:r>
      <w:r w:rsidRPr="0061393F">
        <w:rPr>
          <w:rFonts w:ascii="Times New Roman" w:hAnsi="Times New Roman"/>
          <w:sz w:val="24"/>
          <w:szCs w:val="24"/>
        </w:rPr>
        <w:t>%.</w:t>
      </w:r>
    </w:p>
    <w:p w:rsidR="00F23C5D" w:rsidRPr="00781827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393F">
        <w:rPr>
          <w:rFonts w:ascii="Times New Roman" w:hAnsi="Times New Roman"/>
          <w:bCs/>
          <w:sz w:val="24"/>
          <w:szCs w:val="24"/>
        </w:rPr>
        <w:t>В период 202</w:t>
      </w:r>
      <w:r w:rsidR="00F83CCB" w:rsidRPr="0061393F">
        <w:rPr>
          <w:rFonts w:ascii="Times New Roman" w:hAnsi="Times New Roman"/>
          <w:bCs/>
          <w:sz w:val="24"/>
          <w:szCs w:val="24"/>
        </w:rPr>
        <w:t>3</w:t>
      </w:r>
      <w:r w:rsidRPr="0061393F">
        <w:rPr>
          <w:rFonts w:ascii="Times New Roman" w:hAnsi="Times New Roman"/>
          <w:bCs/>
          <w:sz w:val="24"/>
          <w:szCs w:val="24"/>
        </w:rPr>
        <w:t>-202</w:t>
      </w:r>
      <w:r w:rsidR="00F83CCB" w:rsidRPr="0061393F">
        <w:rPr>
          <w:rFonts w:ascii="Times New Roman" w:hAnsi="Times New Roman"/>
          <w:bCs/>
          <w:sz w:val="24"/>
          <w:szCs w:val="24"/>
        </w:rPr>
        <w:t>5</w:t>
      </w:r>
      <w:r w:rsidRPr="0061393F">
        <w:rPr>
          <w:rFonts w:ascii="Times New Roman" w:hAnsi="Times New Roman"/>
          <w:bCs/>
          <w:sz w:val="24"/>
          <w:szCs w:val="24"/>
        </w:rPr>
        <w:t xml:space="preserve"> годов ожидается рост среднемесячной заработной платы</w:t>
      </w:r>
      <w:r w:rsidRPr="0061393F">
        <w:rPr>
          <w:rFonts w:ascii="Times New Roman" w:hAnsi="Times New Roman"/>
          <w:sz w:val="24"/>
          <w:szCs w:val="24"/>
          <w:lang w:eastAsia="ru-RU"/>
        </w:rPr>
        <w:t>. Положительной динамике заработной платы в перспективе будут способствовать проведение ежегодной индексации размера заработной платы, повышение минимального размера оплаты труда.</w:t>
      </w:r>
    </w:p>
    <w:p w:rsidR="00FD42BF" w:rsidRPr="0089069A" w:rsidRDefault="00FD42BF" w:rsidP="00781827">
      <w:pPr>
        <w:pStyle w:val="11"/>
        <w:ind w:left="2989"/>
        <w:rPr>
          <w:sz w:val="24"/>
          <w:szCs w:val="24"/>
        </w:rPr>
      </w:pPr>
      <w:r w:rsidRPr="0089069A">
        <w:rPr>
          <w:spacing w:val="-2"/>
          <w:sz w:val="24"/>
          <w:szCs w:val="24"/>
        </w:rPr>
        <w:t>Раздел</w:t>
      </w:r>
      <w:r w:rsidRPr="0089069A">
        <w:rPr>
          <w:spacing w:val="-1"/>
          <w:sz w:val="24"/>
          <w:szCs w:val="24"/>
        </w:rPr>
        <w:t xml:space="preserve"> </w:t>
      </w:r>
      <w:r w:rsidRPr="0089069A">
        <w:rPr>
          <w:spacing w:val="-2"/>
          <w:sz w:val="24"/>
          <w:szCs w:val="24"/>
        </w:rPr>
        <w:t>2.</w:t>
      </w:r>
      <w:r w:rsidRPr="0089069A">
        <w:rPr>
          <w:spacing w:val="-14"/>
          <w:sz w:val="24"/>
          <w:szCs w:val="24"/>
        </w:rPr>
        <w:t xml:space="preserve"> </w:t>
      </w:r>
      <w:r w:rsidRPr="0089069A">
        <w:rPr>
          <w:spacing w:val="-2"/>
          <w:sz w:val="24"/>
          <w:szCs w:val="24"/>
        </w:rPr>
        <w:t>Дошкольное</w:t>
      </w:r>
      <w:r w:rsidRPr="0089069A">
        <w:rPr>
          <w:spacing w:val="6"/>
          <w:sz w:val="24"/>
          <w:szCs w:val="24"/>
        </w:rPr>
        <w:t xml:space="preserve"> </w:t>
      </w:r>
      <w:r w:rsidRPr="0089069A">
        <w:rPr>
          <w:spacing w:val="-2"/>
          <w:sz w:val="24"/>
          <w:szCs w:val="24"/>
        </w:rPr>
        <w:t>образование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38630409"/>
      <w:r w:rsidRPr="0089069A">
        <w:rPr>
          <w:rFonts w:ascii="Times New Roman" w:hAnsi="Times New Roman"/>
          <w:sz w:val="24"/>
          <w:szCs w:val="24"/>
        </w:rPr>
        <w:t>Система дошкольного образования Александровского муниципального округа представлена 5 образовательными учреждениями: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</w:rPr>
        <w:t xml:space="preserve">- МБДОУ «Детский сад № 15» (корпуса в г. Александровск: </w:t>
      </w:r>
      <w:r w:rsidRPr="0089069A">
        <w:rPr>
          <w:rFonts w:ascii="Times New Roman" w:hAnsi="Times New Roman"/>
          <w:sz w:val="24"/>
          <w:szCs w:val="24"/>
          <w:lang w:eastAsia="ru-RU"/>
        </w:rPr>
        <w:t>ул. Ленина, 39; ул. Ким, 49; ул. Ким, 51; ул. Островского, 3а; ул. Ленина, 34);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069A">
        <w:rPr>
          <w:rFonts w:ascii="Times New Roman" w:hAnsi="Times New Roman"/>
          <w:sz w:val="24"/>
          <w:szCs w:val="24"/>
        </w:rPr>
        <w:t xml:space="preserve">МБДОУ «Детский сад № 16» (корпуса в г. Александровск: </w:t>
      </w:r>
      <w:r w:rsidRPr="0089069A">
        <w:rPr>
          <w:rFonts w:ascii="Times New Roman" w:hAnsi="Times New Roman"/>
          <w:sz w:val="24"/>
          <w:szCs w:val="24"/>
          <w:lang w:eastAsia="ru-RU"/>
        </w:rPr>
        <w:t>ул. Кирова, 13; ул. Кирова, 9; ул. Советская, 95; в п. Лытвенский, ул. Школьная, 18);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069A">
        <w:rPr>
          <w:rFonts w:ascii="Times New Roman" w:hAnsi="Times New Roman"/>
          <w:sz w:val="24"/>
          <w:szCs w:val="24"/>
        </w:rPr>
        <w:t xml:space="preserve">МБДОУ «Детский сад № 19» (корпуса в п. Яйва: ул. 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6 Пятилетки, 11; ул. Коммунистическая, </w:t>
      </w:r>
      <w:r w:rsidR="00555E37" w:rsidRPr="0089069A">
        <w:rPr>
          <w:rFonts w:ascii="Times New Roman" w:hAnsi="Times New Roman"/>
          <w:sz w:val="24"/>
          <w:szCs w:val="24"/>
          <w:lang w:eastAsia="ru-RU"/>
        </w:rPr>
        <w:t>12; ул.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Коммунистическая, </w:t>
      </w:r>
      <w:r w:rsidR="00555E37" w:rsidRPr="0089069A">
        <w:rPr>
          <w:rFonts w:ascii="Times New Roman" w:hAnsi="Times New Roman"/>
          <w:sz w:val="24"/>
          <w:szCs w:val="24"/>
          <w:lang w:eastAsia="ru-RU"/>
        </w:rPr>
        <w:t>15; ул.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Заводская, 30</w:t>
      </w:r>
      <w:r w:rsidR="00555E37" w:rsidRPr="0089069A">
        <w:rPr>
          <w:rFonts w:ascii="Times New Roman" w:hAnsi="Times New Roman"/>
          <w:sz w:val="24"/>
          <w:szCs w:val="24"/>
          <w:lang w:eastAsia="ru-RU"/>
        </w:rPr>
        <w:t>а; в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разъезде п. </w:t>
      </w:r>
      <w:proofErr w:type="spellStart"/>
      <w:r w:rsidR="00555E37" w:rsidRPr="0089069A">
        <w:rPr>
          <w:rFonts w:ascii="Times New Roman" w:hAnsi="Times New Roman"/>
          <w:sz w:val="24"/>
          <w:szCs w:val="24"/>
          <w:lang w:eastAsia="ru-RU"/>
        </w:rPr>
        <w:t>Люзень</w:t>
      </w:r>
      <w:proofErr w:type="spellEnd"/>
      <w:r w:rsidR="00555E37">
        <w:rPr>
          <w:rFonts w:ascii="Times New Roman" w:hAnsi="Times New Roman"/>
          <w:sz w:val="24"/>
          <w:szCs w:val="24"/>
          <w:lang w:eastAsia="ru-RU"/>
        </w:rPr>
        <w:t>,</w:t>
      </w:r>
      <w:r w:rsidR="00555E37" w:rsidRPr="0089069A">
        <w:rPr>
          <w:rFonts w:ascii="Times New Roman" w:hAnsi="Times New Roman"/>
          <w:sz w:val="24"/>
          <w:szCs w:val="24"/>
          <w:lang w:eastAsia="ru-RU"/>
        </w:rPr>
        <w:t xml:space="preserve"> ул.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Подстанционная, 3);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069A">
        <w:rPr>
          <w:rFonts w:ascii="Times New Roman" w:hAnsi="Times New Roman"/>
          <w:sz w:val="24"/>
          <w:szCs w:val="24"/>
        </w:rPr>
        <w:t xml:space="preserve">МБДОУ «Детский сад № 23» </w:t>
      </w:r>
      <w:r w:rsidRPr="0089069A">
        <w:rPr>
          <w:rFonts w:ascii="Times New Roman" w:hAnsi="Times New Roman"/>
          <w:sz w:val="24"/>
          <w:szCs w:val="24"/>
          <w:lang w:eastAsia="ru-RU"/>
        </w:rPr>
        <w:t>(корпуса в п. Яйва: ул. Юннатов, 8; ул. 8 Марта, 5);</w:t>
      </w:r>
    </w:p>
    <w:p w:rsidR="00F23C5D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9069A">
        <w:rPr>
          <w:rFonts w:ascii="Times New Roman" w:hAnsi="Times New Roman"/>
          <w:sz w:val="24"/>
          <w:szCs w:val="24"/>
        </w:rPr>
        <w:t xml:space="preserve">МБДОУ «Детский сад № 30» (корпуса: 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п. Всеволодо-Вильва, ул. Розы Люксембург, 19; п. Карьер-Известняк, ул. Гоголя, 1; с.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Усть-Игум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, ул. Советская, 2; п.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Ивакинский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 Карьер, ул. Ленина, 11). </w:t>
      </w:r>
      <w:bookmarkEnd w:id="0"/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>9. Доля детей в возрасте 1-6 лет, получающих дошкольную общеобразовательную услугу и (или)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по их содержанию в муниципальных образовательных учреждениях в общей численности детей в возрасте 1-6 лет. 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202</w:t>
      </w:r>
      <w:r w:rsidR="00AE6BC2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году</w:t>
      </w:r>
      <w:r w:rsidRPr="008906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 xml:space="preserve">численность детей в возрасте 1-6 составила </w:t>
      </w:r>
      <w:r w:rsidR="00DD17C0">
        <w:rPr>
          <w:rFonts w:ascii="Times New Roman" w:hAnsi="Times New Roman"/>
          <w:sz w:val="24"/>
          <w:szCs w:val="24"/>
        </w:rPr>
        <w:t>1598</w:t>
      </w:r>
      <w:r w:rsidRPr="0089069A">
        <w:rPr>
          <w:rFonts w:ascii="Times New Roman" w:hAnsi="Times New Roman"/>
          <w:sz w:val="24"/>
          <w:szCs w:val="24"/>
        </w:rPr>
        <w:t xml:space="preserve"> человек. Дошкольные</w:t>
      </w:r>
      <w:r w:rsidRPr="0089069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образовательные</w:t>
      </w:r>
      <w:r w:rsidRPr="0089069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учреждения посещали</w:t>
      </w:r>
      <w:r w:rsidRPr="0089069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всего</w:t>
      </w:r>
      <w:r w:rsidRPr="0089069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D17C0">
        <w:rPr>
          <w:rFonts w:ascii="Times New Roman" w:hAnsi="Times New Roman"/>
          <w:sz w:val="24"/>
          <w:szCs w:val="24"/>
        </w:rPr>
        <w:t>1219</w:t>
      </w:r>
      <w:r w:rsidRPr="0089069A">
        <w:rPr>
          <w:rFonts w:ascii="Times New Roman" w:hAnsi="Times New Roman"/>
          <w:color w:val="FF0000"/>
          <w:spacing w:val="-14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детей.</w:t>
      </w:r>
      <w:r w:rsidRPr="0089069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Доля</w:t>
      </w:r>
      <w:r w:rsidRPr="0089069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детей</w:t>
      </w:r>
      <w:r w:rsidRPr="0089069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в возрасте 1-6 лет, получающих дошкольную общеобразовательную услугу и (или) услугу по их содержанию в муниципальных образовательных учреждениях в общей численности детей в</w:t>
      </w:r>
      <w:r w:rsidRPr="0089069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 xml:space="preserve">возрасте 1-6 лет, составила </w:t>
      </w:r>
      <w:r w:rsidR="00DD17C0">
        <w:rPr>
          <w:rFonts w:ascii="Times New Roman" w:hAnsi="Times New Roman"/>
          <w:sz w:val="24"/>
          <w:szCs w:val="24"/>
        </w:rPr>
        <w:t>76,3</w:t>
      </w:r>
      <w:r w:rsidRPr="0089069A">
        <w:rPr>
          <w:rFonts w:ascii="Times New Roman" w:hAnsi="Times New Roman"/>
          <w:sz w:val="24"/>
          <w:szCs w:val="24"/>
        </w:rPr>
        <w:t xml:space="preserve"> %.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>Численность воспитанников детских садов ежегодно уменьшается: в 202</w:t>
      </w:r>
      <w:r w:rsidR="004956E8">
        <w:rPr>
          <w:rFonts w:ascii="Times New Roman" w:hAnsi="Times New Roman"/>
          <w:sz w:val="24"/>
          <w:szCs w:val="24"/>
          <w:lang w:eastAsia="ru-RU"/>
        </w:rPr>
        <w:t>1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г. – 1</w:t>
      </w:r>
      <w:r w:rsidR="004956E8">
        <w:rPr>
          <w:rFonts w:ascii="Times New Roman" w:hAnsi="Times New Roman"/>
          <w:sz w:val="24"/>
          <w:szCs w:val="24"/>
          <w:lang w:eastAsia="ru-RU"/>
        </w:rPr>
        <w:t>316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чел., в 202</w:t>
      </w:r>
      <w:r w:rsidR="004956E8">
        <w:rPr>
          <w:rFonts w:ascii="Times New Roman" w:hAnsi="Times New Roman"/>
          <w:sz w:val="24"/>
          <w:szCs w:val="24"/>
          <w:lang w:eastAsia="ru-RU"/>
        </w:rPr>
        <w:t>2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г. – 1</w:t>
      </w:r>
      <w:r w:rsidR="004956E8">
        <w:rPr>
          <w:rFonts w:ascii="Times New Roman" w:hAnsi="Times New Roman"/>
          <w:sz w:val="24"/>
          <w:szCs w:val="24"/>
          <w:lang w:eastAsia="ru-RU"/>
        </w:rPr>
        <w:t>219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="00AE6BC2">
        <w:rPr>
          <w:rFonts w:ascii="Times New Roman" w:hAnsi="Times New Roman"/>
          <w:sz w:val="24"/>
          <w:szCs w:val="24"/>
          <w:lang w:eastAsia="ru-RU"/>
        </w:rPr>
        <w:t>овек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, снижение составило </w:t>
      </w:r>
      <w:r w:rsidR="004956E8">
        <w:rPr>
          <w:rFonts w:ascii="Times New Roman" w:hAnsi="Times New Roman"/>
          <w:sz w:val="24"/>
          <w:szCs w:val="24"/>
          <w:lang w:eastAsia="ru-RU"/>
        </w:rPr>
        <w:t>97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чел</w:t>
      </w:r>
      <w:r w:rsidR="00AE6BC2">
        <w:rPr>
          <w:rFonts w:ascii="Times New Roman" w:hAnsi="Times New Roman"/>
          <w:sz w:val="24"/>
          <w:szCs w:val="24"/>
          <w:lang w:eastAsia="ru-RU"/>
        </w:rPr>
        <w:t>овек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или 7,4%.</w:t>
      </w:r>
      <w:r w:rsidR="00AE6B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42BF" w:rsidRPr="0089069A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Это связано как со снижением рождаемости в муниципальном образовании, так и с продолжающейся миграцией в другие муниципальные образования Пермского края и за его пределы. </w:t>
      </w:r>
    </w:p>
    <w:p w:rsidR="00F23C5D" w:rsidRPr="00781827" w:rsidRDefault="00FD42BF" w:rsidP="0078182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период 202</w:t>
      </w:r>
      <w:r w:rsidR="004956E8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>-202</w:t>
      </w:r>
      <w:r w:rsidR="004956E8">
        <w:rPr>
          <w:rFonts w:ascii="Times New Roman" w:hAnsi="Times New Roman"/>
          <w:sz w:val="24"/>
          <w:szCs w:val="24"/>
        </w:rPr>
        <w:t>5</w:t>
      </w:r>
      <w:r w:rsidRPr="0089069A">
        <w:rPr>
          <w:rFonts w:ascii="Times New Roman" w:hAnsi="Times New Roman"/>
          <w:sz w:val="24"/>
          <w:szCs w:val="24"/>
        </w:rPr>
        <w:t xml:space="preserve"> годах доля детей в возрасте 1-6 лет, получающих дошкольную общеобразовательную услугу и (или) услугу по их содержанию в муниципальных образовательных</w:t>
      </w:r>
      <w:r w:rsidRPr="0089069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учреждениях, в</w:t>
      </w:r>
      <w:r w:rsidRPr="0089069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общей численности детей в возрасте 1-6 лет, сохранится на уровне 7</w:t>
      </w:r>
      <w:r w:rsidR="004956E8">
        <w:rPr>
          <w:rFonts w:ascii="Times New Roman" w:hAnsi="Times New Roman"/>
          <w:sz w:val="24"/>
          <w:szCs w:val="24"/>
        </w:rPr>
        <w:t>6,3</w:t>
      </w:r>
      <w:r w:rsidRPr="0089069A">
        <w:rPr>
          <w:rFonts w:ascii="Times New Roman" w:hAnsi="Times New Roman"/>
          <w:sz w:val="24"/>
          <w:szCs w:val="24"/>
        </w:rPr>
        <w:t xml:space="preserve"> %.</w:t>
      </w:r>
    </w:p>
    <w:p w:rsidR="00AE6BC2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3C5D">
        <w:rPr>
          <w:rFonts w:ascii="Times New Roman" w:hAnsi="Times New Roman"/>
          <w:b/>
          <w:bCs/>
          <w:sz w:val="24"/>
          <w:szCs w:val="24"/>
        </w:rPr>
        <w:lastRenderedPageBreak/>
        <w:t xml:space="preserve">10. Доля детей в возрасте 1-6 лет, состоящих на учете для определения в </w:t>
      </w:r>
      <w:bookmarkStart w:id="1" w:name="_Hlk101949278"/>
      <w:r w:rsidRPr="00F23C5D">
        <w:rPr>
          <w:rFonts w:ascii="Times New Roman" w:hAnsi="Times New Roman"/>
          <w:b/>
          <w:bCs/>
          <w:sz w:val="24"/>
          <w:szCs w:val="24"/>
        </w:rPr>
        <w:t xml:space="preserve">муниципальные дошкольные </w:t>
      </w:r>
      <w:bookmarkEnd w:id="1"/>
      <w:r w:rsidRPr="00F23C5D">
        <w:rPr>
          <w:rFonts w:ascii="Times New Roman" w:hAnsi="Times New Roman"/>
          <w:b/>
          <w:bCs/>
          <w:sz w:val="24"/>
          <w:szCs w:val="24"/>
        </w:rPr>
        <w:t xml:space="preserve">образовательные учреждения, в общей численности детей в возрасте 1-6 лет. </w:t>
      </w:r>
      <w:r w:rsidR="00AE6BC2" w:rsidRPr="00F23C5D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 в возрасте 1-6 лет, стоящих на учете для определения в муниципальные дошкольные образовательные учреждения, в 2022 году по сравнению с уровнем 2021 года уменьшилась незначительно и составила 0,9%, в 2021 году – 1,5%. Проблема с очередностью в дошкольные учреждения в округе отсутствует. В 2022 году все дети, желающие посещать детский сад в возрасте от 1 до 6 лет, обеспечены местами. Осталась лишь очередность с отложенным спросом, т.е. желаемая дата зачисления в дошкольные учреждения в последующие годы. В прогнозные годы планируется </w:t>
      </w:r>
      <w:r w:rsidR="00F23C5D" w:rsidRPr="00F23C5D">
        <w:rPr>
          <w:rFonts w:ascii="Times New Roman" w:eastAsia="Times New Roman" w:hAnsi="Times New Roman"/>
          <w:sz w:val="24"/>
          <w:szCs w:val="24"/>
          <w:lang w:eastAsia="ru-RU"/>
        </w:rPr>
        <w:t>сохранение</w:t>
      </w:r>
      <w:r w:rsidR="00AE6BC2" w:rsidRPr="00F23C5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</w:t>
      </w:r>
      <w:r w:rsidR="00F23C5D" w:rsidRPr="00F23C5D">
        <w:rPr>
          <w:rFonts w:ascii="Times New Roman" w:eastAsia="Times New Roman" w:hAnsi="Times New Roman"/>
          <w:sz w:val="24"/>
          <w:szCs w:val="24"/>
          <w:lang w:eastAsia="ru-RU"/>
        </w:rPr>
        <w:t>на уровне 2022 года.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t xml:space="preserve">11. 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учреждений. 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По итогам прошедшего 202</w:t>
      </w:r>
      <w:r w:rsidR="009E74BF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555E37" w:rsidRPr="0089069A">
        <w:rPr>
          <w:rFonts w:ascii="Times New Roman" w:hAnsi="Times New Roman"/>
          <w:sz w:val="24"/>
          <w:szCs w:val="24"/>
        </w:rPr>
        <w:t>года ни</w:t>
      </w:r>
      <w:r w:rsidRPr="0089069A">
        <w:rPr>
          <w:rFonts w:ascii="Times New Roman" w:hAnsi="Times New Roman"/>
          <w:sz w:val="24"/>
          <w:szCs w:val="24"/>
        </w:rPr>
        <w:t xml:space="preserve"> одно муниципальное дошкольное образовательное учреждение не имеет зданий, которые находятся в аварийном состоянии или требуют капитального ремонта. </w:t>
      </w:r>
      <w:bookmarkStart w:id="2" w:name="_Hlk38630491"/>
      <w:r w:rsidRPr="0089069A">
        <w:rPr>
          <w:rFonts w:ascii="Times New Roman" w:hAnsi="Times New Roman"/>
          <w:sz w:val="24"/>
          <w:szCs w:val="24"/>
        </w:rPr>
        <w:t>В отчетном 202</w:t>
      </w:r>
      <w:r w:rsidR="009E74BF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F23C5D">
        <w:rPr>
          <w:rFonts w:ascii="Times New Roman" w:hAnsi="Times New Roman"/>
          <w:sz w:val="24"/>
          <w:szCs w:val="24"/>
        </w:rPr>
        <w:t>году</w:t>
      </w:r>
      <w:r w:rsidRPr="0089069A">
        <w:rPr>
          <w:rFonts w:ascii="Times New Roman" w:hAnsi="Times New Roman"/>
          <w:sz w:val="24"/>
          <w:szCs w:val="24"/>
        </w:rPr>
        <w:t xml:space="preserve"> на ремонтные работы дошкольных образовательных учреждений в рамках мероприятий по приведению в нормативное состояние объектов общественной инфраструктуры муниципального значения было выделено </w:t>
      </w:r>
      <w:r w:rsidR="002632A0">
        <w:rPr>
          <w:rFonts w:ascii="Times New Roman" w:hAnsi="Times New Roman"/>
          <w:sz w:val="24"/>
          <w:szCs w:val="24"/>
        </w:rPr>
        <w:t>20,7 млн</w:t>
      </w:r>
      <w:r w:rsidRPr="0089069A">
        <w:rPr>
          <w:rFonts w:ascii="Times New Roman" w:hAnsi="Times New Roman"/>
          <w:sz w:val="24"/>
          <w:szCs w:val="24"/>
        </w:rPr>
        <w:t>.руб</w:t>
      </w:r>
      <w:r w:rsidR="00F23C5D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, из них средства бюджета Пермского края – </w:t>
      </w:r>
      <w:r w:rsidR="002632A0">
        <w:rPr>
          <w:rFonts w:ascii="Times New Roman" w:hAnsi="Times New Roman"/>
          <w:sz w:val="24"/>
          <w:szCs w:val="24"/>
        </w:rPr>
        <w:t>15,1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2632A0">
        <w:rPr>
          <w:rFonts w:ascii="Times New Roman" w:hAnsi="Times New Roman"/>
          <w:sz w:val="24"/>
          <w:szCs w:val="24"/>
        </w:rPr>
        <w:t>млн</w:t>
      </w:r>
      <w:r w:rsidRPr="0089069A">
        <w:rPr>
          <w:rFonts w:ascii="Times New Roman" w:hAnsi="Times New Roman"/>
          <w:sz w:val="24"/>
          <w:szCs w:val="24"/>
        </w:rPr>
        <w:t>.руб</w:t>
      </w:r>
      <w:r w:rsidR="00F23C5D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, средства местного бюджета – </w:t>
      </w:r>
      <w:r w:rsidR="002632A0">
        <w:rPr>
          <w:rFonts w:ascii="Times New Roman" w:hAnsi="Times New Roman"/>
          <w:sz w:val="24"/>
          <w:szCs w:val="24"/>
        </w:rPr>
        <w:t>5,6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2632A0">
        <w:rPr>
          <w:rFonts w:ascii="Times New Roman" w:hAnsi="Times New Roman"/>
          <w:sz w:val="24"/>
          <w:szCs w:val="24"/>
        </w:rPr>
        <w:t>млн</w:t>
      </w:r>
      <w:r w:rsidRPr="0089069A">
        <w:rPr>
          <w:rFonts w:ascii="Times New Roman" w:hAnsi="Times New Roman"/>
          <w:sz w:val="24"/>
          <w:szCs w:val="24"/>
        </w:rPr>
        <w:t>.руб</w:t>
      </w:r>
      <w:r w:rsidR="00F23C5D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. Указанные финансовые средства были направлены на ремонт </w:t>
      </w:r>
      <w:r w:rsidR="002632A0" w:rsidRPr="002632A0">
        <w:rPr>
          <w:rFonts w:ascii="Times New Roman" w:eastAsia="Times New Roman" w:hAnsi="Times New Roman"/>
          <w:sz w:val="24"/>
          <w:szCs w:val="24"/>
        </w:rPr>
        <w:t>образовательных учреждениях округа: МБДОУ «Детский сад № 15», МБДОУ «Детский сад № 30», МБДОУ «Детский сад № 19», МБОУ «БСОШ № 1», МБОУ «Гимназия», МБОУ «СОШ № 6», МБОУ «ООШ № 8 им. А.П. Чехова», МБУ ДО «ДЮЦ «Горизонт».</w:t>
      </w:r>
      <w:r w:rsidR="002632A0" w:rsidRPr="0028746E">
        <w:rPr>
          <w:rFonts w:ascii="Times New Roman" w:eastAsia="Times New Roman" w:hAnsi="Times New Roman"/>
          <w:sz w:val="28"/>
          <w:szCs w:val="28"/>
        </w:rPr>
        <w:t xml:space="preserve">  </w:t>
      </w:r>
      <w:bookmarkEnd w:id="2"/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spacing w:val="-2"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spacing w:val="-2"/>
          <w:sz w:val="24"/>
          <w:szCs w:val="24"/>
        </w:rPr>
        <w:t>3.</w:t>
      </w:r>
      <w:r w:rsidRPr="0089069A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sz w:val="24"/>
          <w:szCs w:val="24"/>
        </w:rPr>
        <w:t>Общее и дополнительное образование</w:t>
      </w:r>
    </w:p>
    <w:p w:rsidR="00FD42BF" w:rsidRDefault="00FD42BF" w:rsidP="00781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_Hlk38630437"/>
      <w:r w:rsidRPr="0089069A">
        <w:rPr>
          <w:rFonts w:ascii="Times New Roman" w:hAnsi="Times New Roman"/>
          <w:sz w:val="24"/>
          <w:szCs w:val="24"/>
          <w:shd w:val="clear" w:color="auto" w:fill="FFFFFF"/>
        </w:rPr>
        <w:t>Система общего и дополнительного образования Александровского муниципального округа на 01.01.2022 г</w:t>
      </w:r>
      <w:r w:rsidR="00F23C5D">
        <w:rPr>
          <w:rFonts w:ascii="Times New Roman" w:hAnsi="Times New Roman"/>
          <w:sz w:val="24"/>
          <w:szCs w:val="24"/>
          <w:shd w:val="clear" w:color="auto" w:fill="FFFFFF"/>
        </w:rPr>
        <w:t>ода</w:t>
      </w:r>
      <w:r w:rsidRPr="0089069A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представлена 8 учреждениями:</w:t>
      </w:r>
    </w:p>
    <w:p w:rsidR="00456119" w:rsidRDefault="00325DE2" w:rsidP="00781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96A4C">
        <w:rPr>
          <w:rFonts w:ascii="Times New Roman" w:eastAsia="Times New Roman" w:hAnsi="Times New Roman"/>
          <w:sz w:val="24"/>
          <w:szCs w:val="24"/>
        </w:rPr>
        <w:t>- 6 школ, из них 4 средних, 1 основная, 1 специальная школа–интернат для обучающихся, воспитанников с ограниченными возможностями здоровья, обучается 3 119 учеников</w:t>
      </w:r>
      <w:r w:rsidR="00456119">
        <w:rPr>
          <w:rFonts w:ascii="Times New Roman" w:eastAsia="Times New Roman" w:hAnsi="Times New Roman"/>
          <w:sz w:val="24"/>
          <w:szCs w:val="24"/>
        </w:rPr>
        <w:t>;</w:t>
      </w:r>
    </w:p>
    <w:p w:rsidR="00325DE2" w:rsidRPr="00B96A4C" w:rsidRDefault="00325DE2" w:rsidP="007818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96A4C">
        <w:rPr>
          <w:rFonts w:ascii="Times New Roman" w:eastAsia="Times New Roman" w:hAnsi="Times New Roman"/>
          <w:sz w:val="24"/>
          <w:szCs w:val="24"/>
        </w:rPr>
        <w:t>- 2 учреждения дополнительного образования детей, где занято 1350 обучающихся</w:t>
      </w:r>
      <w:r w:rsidR="00456119">
        <w:rPr>
          <w:rFonts w:ascii="Times New Roman" w:eastAsia="Times New Roman" w:hAnsi="Times New Roman"/>
          <w:sz w:val="24"/>
          <w:szCs w:val="24"/>
        </w:rPr>
        <w:t>.</w:t>
      </w:r>
    </w:p>
    <w:p w:rsidR="00456119" w:rsidRPr="00456119" w:rsidRDefault="00CC0759" w:rsidP="0078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119">
        <w:rPr>
          <w:rFonts w:ascii="Times New Roman" w:hAnsi="Times New Roman"/>
          <w:sz w:val="24"/>
          <w:szCs w:val="24"/>
        </w:rPr>
        <w:t>В 2022 году 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на основании статистического отчета ОО-1 (по состоянию на 20.09.2022 г.) оказывалось 3119 обучающимся (2021 г</w:t>
      </w:r>
      <w:r w:rsidR="00F23C5D">
        <w:rPr>
          <w:rFonts w:ascii="Times New Roman" w:hAnsi="Times New Roman"/>
          <w:sz w:val="24"/>
          <w:szCs w:val="24"/>
        </w:rPr>
        <w:t xml:space="preserve">од </w:t>
      </w:r>
      <w:r w:rsidRPr="00456119">
        <w:rPr>
          <w:rFonts w:ascii="Times New Roman" w:hAnsi="Times New Roman"/>
          <w:sz w:val="24"/>
          <w:szCs w:val="24"/>
        </w:rPr>
        <w:t>- 3134 чел</w:t>
      </w:r>
      <w:r w:rsidR="00F23C5D">
        <w:rPr>
          <w:rFonts w:ascii="Times New Roman" w:hAnsi="Times New Roman"/>
          <w:sz w:val="24"/>
          <w:szCs w:val="24"/>
        </w:rPr>
        <w:t>овек</w:t>
      </w:r>
      <w:r w:rsidRPr="00456119">
        <w:rPr>
          <w:rFonts w:ascii="Times New Roman" w:hAnsi="Times New Roman"/>
          <w:sz w:val="24"/>
          <w:szCs w:val="24"/>
        </w:rPr>
        <w:t xml:space="preserve">), </w:t>
      </w:r>
      <w:r w:rsidR="00F23C5D">
        <w:rPr>
          <w:rFonts w:ascii="Times New Roman" w:hAnsi="Times New Roman"/>
          <w:sz w:val="24"/>
          <w:szCs w:val="24"/>
        </w:rPr>
        <w:t xml:space="preserve"> </w:t>
      </w:r>
      <w:r w:rsidRPr="00456119">
        <w:rPr>
          <w:rFonts w:ascii="Times New Roman" w:hAnsi="Times New Roman"/>
          <w:sz w:val="24"/>
          <w:szCs w:val="24"/>
        </w:rPr>
        <w:t>из них: 308 обучающихся имеют статус ребенка с ОВЗ (</w:t>
      </w:r>
      <w:r w:rsidR="00F23C5D">
        <w:rPr>
          <w:rFonts w:ascii="Times New Roman" w:hAnsi="Times New Roman"/>
          <w:sz w:val="24"/>
          <w:szCs w:val="24"/>
        </w:rPr>
        <w:t xml:space="preserve">в </w:t>
      </w:r>
      <w:r w:rsidRPr="00456119">
        <w:rPr>
          <w:rFonts w:ascii="Times New Roman" w:hAnsi="Times New Roman"/>
          <w:sz w:val="24"/>
          <w:szCs w:val="24"/>
        </w:rPr>
        <w:t xml:space="preserve">2021 </w:t>
      </w:r>
      <w:r w:rsidR="00F23C5D">
        <w:rPr>
          <w:rFonts w:ascii="Times New Roman" w:hAnsi="Times New Roman"/>
          <w:sz w:val="24"/>
          <w:szCs w:val="24"/>
        </w:rPr>
        <w:t>году</w:t>
      </w:r>
      <w:r w:rsidRPr="00456119">
        <w:rPr>
          <w:rFonts w:ascii="Times New Roman" w:hAnsi="Times New Roman"/>
          <w:sz w:val="24"/>
          <w:szCs w:val="24"/>
        </w:rPr>
        <w:t xml:space="preserve"> – 227 чел</w:t>
      </w:r>
      <w:r w:rsidR="00F23C5D">
        <w:rPr>
          <w:rFonts w:ascii="Times New Roman" w:hAnsi="Times New Roman"/>
          <w:sz w:val="24"/>
          <w:szCs w:val="24"/>
        </w:rPr>
        <w:t>овек</w:t>
      </w:r>
      <w:r w:rsidRPr="00456119">
        <w:rPr>
          <w:rFonts w:ascii="Times New Roman" w:hAnsi="Times New Roman"/>
          <w:sz w:val="24"/>
          <w:szCs w:val="24"/>
        </w:rPr>
        <w:t>). На территории округа функционирует МКОУ «Яйвинская специальная общеобразовательная школа – интернат», в которой обучается 87 чел</w:t>
      </w:r>
      <w:r w:rsidR="00F23C5D">
        <w:rPr>
          <w:rFonts w:ascii="Times New Roman" w:hAnsi="Times New Roman"/>
          <w:sz w:val="24"/>
          <w:szCs w:val="24"/>
        </w:rPr>
        <w:t>овек</w:t>
      </w:r>
      <w:r w:rsidRPr="00456119">
        <w:rPr>
          <w:rFonts w:ascii="Times New Roman" w:hAnsi="Times New Roman"/>
          <w:sz w:val="24"/>
          <w:szCs w:val="24"/>
        </w:rPr>
        <w:t xml:space="preserve"> и из них 36 чел</w:t>
      </w:r>
      <w:r w:rsidR="00F23C5D">
        <w:rPr>
          <w:rFonts w:ascii="Times New Roman" w:hAnsi="Times New Roman"/>
          <w:sz w:val="24"/>
          <w:szCs w:val="24"/>
        </w:rPr>
        <w:t>овек</w:t>
      </w:r>
      <w:r w:rsidRPr="00456119">
        <w:rPr>
          <w:rFonts w:ascii="Times New Roman" w:hAnsi="Times New Roman"/>
          <w:sz w:val="24"/>
          <w:szCs w:val="24"/>
        </w:rPr>
        <w:t xml:space="preserve"> проживают в интернате, организованном на базе учреждения. </w:t>
      </w:r>
      <w:bookmarkEnd w:id="3"/>
      <w:r w:rsidR="00456119" w:rsidRPr="00456119">
        <w:rPr>
          <w:rFonts w:ascii="Times New Roman" w:hAnsi="Times New Roman"/>
          <w:sz w:val="24"/>
          <w:szCs w:val="24"/>
        </w:rPr>
        <w:t xml:space="preserve">Охват детей в учреждениях дополнительного образования в возрасте от 5 до 18 лет составил 1350 человек. </w:t>
      </w:r>
    </w:p>
    <w:p w:rsidR="00F23C5D" w:rsidRPr="00456119" w:rsidRDefault="00456119" w:rsidP="0078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56119">
        <w:rPr>
          <w:rFonts w:ascii="Times New Roman" w:hAnsi="Times New Roman"/>
          <w:sz w:val="24"/>
          <w:szCs w:val="24"/>
        </w:rPr>
        <w:t>В соответствии с письмом Министерства образования РФ № 29/1470-б от 30</w:t>
      </w:r>
      <w:r w:rsidR="00F23C5D">
        <w:rPr>
          <w:rFonts w:ascii="Times New Roman" w:hAnsi="Times New Roman"/>
          <w:sz w:val="24"/>
          <w:szCs w:val="24"/>
        </w:rPr>
        <w:t>.03.</w:t>
      </w:r>
      <w:r w:rsidRPr="00456119">
        <w:rPr>
          <w:rFonts w:ascii="Times New Roman" w:hAnsi="Times New Roman"/>
          <w:sz w:val="24"/>
          <w:szCs w:val="24"/>
        </w:rPr>
        <w:t>2001 г. «Об организации в образовательных учреждениях надомного обучения», для урегулирования деятельности образовательных учреждений по организации надомного обучения детей, нуждающихся в индивидуальном обучении по состоянию здоровья или для учащихся по состоянию здоровья временно не способных посещать занятия, в соответствии с заключением лечебного учреждения» организовано обучение на дому: в 2022-2023 учебном году для 25 обучающихся (в 2021-2022 учебном году для 26 обучающихся).</w:t>
      </w:r>
      <w:r w:rsidRPr="0045611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D42BF" w:rsidRPr="0089069A" w:rsidRDefault="00FD42BF" w:rsidP="0078182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  <w:bookmarkStart w:id="4" w:name="_Hlk38630524"/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 xml:space="preserve">Одним из показателей работы школы по качеству освоения образовательных программ являются результаты государственной (итоговой) аттестации выпускников 9 и 11 классов. </w:t>
      </w:r>
    </w:p>
    <w:p w:rsidR="00D56F67" w:rsidRPr="00617D6A" w:rsidRDefault="00617D6A" w:rsidP="00781827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D6A">
        <w:rPr>
          <w:rFonts w:ascii="Times New Roman" w:hAnsi="Times New Roman"/>
          <w:sz w:val="24"/>
          <w:szCs w:val="24"/>
        </w:rPr>
        <w:t>Из 262 выпускников общеобразовательных учреждений по программам основного общего образования, по итогам выпускных экзаменов аттестаты получили 259 человек (98,9%), из которых 3 человек</w:t>
      </w:r>
      <w:r w:rsidR="007B3BFB">
        <w:rPr>
          <w:rFonts w:ascii="Times New Roman" w:hAnsi="Times New Roman"/>
          <w:sz w:val="24"/>
          <w:szCs w:val="24"/>
        </w:rPr>
        <w:t>а</w:t>
      </w:r>
      <w:r w:rsidRPr="00617D6A">
        <w:rPr>
          <w:rFonts w:ascii="Times New Roman" w:hAnsi="Times New Roman"/>
          <w:sz w:val="24"/>
          <w:szCs w:val="24"/>
        </w:rPr>
        <w:t xml:space="preserve"> получили аттестаты с отличием.</w:t>
      </w:r>
    </w:p>
    <w:p w:rsidR="00617D6A" w:rsidRPr="00617D6A" w:rsidRDefault="00617D6A" w:rsidP="00781827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7D6A">
        <w:rPr>
          <w:rFonts w:ascii="Times New Roman" w:hAnsi="Times New Roman"/>
          <w:sz w:val="24"/>
          <w:szCs w:val="24"/>
        </w:rPr>
        <w:t xml:space="preserve">Из 86 выпускников 11 классов по программам среднего общего образования по результатам экзаменов 84 человека получили аттестат (97,7%), из которых 3 человека </w:t>
      </w:r>
      <w:r w:rsidR="007B3BFB">
        <w:rPr>
          <w:rFonts w:ascii="Times New Roman" w:hAnsi="Times New Roman"/>
          <w:sz w:val="24"/>
          <w:szCs w:val="24"/>
        </w:rPr>
        <w:t xml:space="preserve">получили </w:t>
      </w:r>
      <w:r w:rsidRPr="00617D6A">
        <w:rPr>
          <w:rFonts w:ascii="Times New Roman" w:hAnsi="Times New Roman"/>
          <w:sz w:val="24"/>
          <w:szCs w:val="24"/>
        </w:rPr>
        <w:t>аттестат с отличием и золотой медалью «За особые успехи в учении</w:t>
      </w:r>
      <w:r w:rsidR="007B3BFB">
        <w:rPr>
          <w:rFonts w:ascii="Times New Roman" w:hAnsi="Times New Roman"/>
          <w:sz w:val="24"/>
          <w:szCs w:val="24"/>
        </w:rPr>
        <w:t>»</w:t>
      </w:r>
      <w:r w:rsidRPr="00617D6A">
        <w:rPr>
          <w:rFonts w:ascii="Times New Roman" w:hAnsi="Times New Roman"/>
          <w:sz w:val="24"/>
          <w:szCs w:val="24"/>
        </w:rPr>
        <w:t>.</w:t>
      </w:r>
    </w:p>
    <w:p w:rsidR="00FD42BF" w:rsidRPr="0089069A" w:rsidRDefault="00FD42BF" w:rsidP="007818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Общий показатель за 202</w:t>
      </w:r>
      <w:r w:rsidR="00617D6A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7B3BFB">
        <w:rPr>
          <w:rFonts w:ascii="Times New Roman" w:hAnsi="Times New Roman"/>
          <w:sz w:val="24"/>
          <w:szCs w:val="24"/>
        </w:rPr>
        <w:t>од</w:t>
      </w:r>
      <w:r w:rsidRPr="0089069A">
        <w:rPr>
          <w:rFonts w:ascii="Times New Roman" w:hAnsi="Times New Roman"/>
          <w:sz w:val="24"/>
          <w:szCs w:val="24"/>
        </w:rPr>
        <w:t xml:space="preserve"> составил 2,</w:t>
      </w:r>
      <w:r w:rsidR="00617D6A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 xml:space="preserve">%. </w:t>
      </w:r>
    </w:p>
    <w:p w:rsidR="007B3BFB" w:rsidRPr="0089069A" w:rsidRDefault="00FD42BF" w:rsidP="007818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В периоде</w:t>
      </w:r>
      <w:r w:rsidR="007B3BFB">
        <w:rPr>
          <w:rFonts w:ascii="Times New Roman" w:hAnsi="Times New Roman"/>
          <w:sz w:val="24"/>
          <w:szCs w:val="24"/>
        </w:rPr>
        <w:t xml:space="preserve"> 2023-2025 годов </w:t>
      </w:r>
      <w:r w:rsidRPr="0089069A">
        <w:rPr>
          <w:rFonts w:ascii="Times New Roman" w:hAnsi="Times New Roman"/>
          <w:sz w:val="24"/>
          <w:szCs w:val="24"/>
        </w:rPr>
        <w:t xml:space="preserve">планируется достичь нулевое </w:t>
      </w:r>
      <w:proofErr w:type="gramStart"/>
      <w:r w:rsidRPr="0089069A">
        <w:rPr>
          <w:rFonts w:ascii="Times New Roman" w:hAnsi="Times New Roman"/>
          <w:sz w:val="24"/>
          <w:szCs w:val="24"/>
        </w:rPr>
        <w:t>значение</w:t>
      </w:r>
      <w:r w:rsidR="007B3BFB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="007B3BFB">
        <w:rPr>
          <w:rFonts w:ascii="Times New Roman" w:hAnsi="Times New Roman"/>
          <w:sz w:val="24"/>
          <w:szCs w:val="24"/>
        </w:rPr>
        <w:t xml:space="preserve"> данному показателю</w:t>
      </w:r>
      <w:r w:rsidRPr="0089069A">
        <w:rPr>
          <w:rFonts w:ascii="Times New Roman" w:hAnsi="Times New Roman"/>
          <w:sz w:val="24"/>
          <w:szCs w:val="24"/>
        </w:rPr>
        <w:t>.</w:t>
      </w:r>
    </w:p>
    <w:bookmarkEnd w:id="4"/>
    <w:p w:rsidR="00FD42BF" w:rsidRPr="0089069A" w:rsidRDefault="00FD42BF" w:rsidP="007818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lastRenderedPageBreak/>
        <w:t xml:space="preserve"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 </w:t>
      </w:r>
    </w:p>
    <w:p w:rsidR="007B3BFB" w:rsidRPr="00781827" w:rsidRDefault="00FD42BF" w:rsidP="007818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Значение показателя за отчетный период составило 100%. </w:t>
      </w:r>
      <w:bookmarkStart w:id="5" w:name="_Hlk38630537"/>
      <w:r w:rsidRPr="0089069A">
        <w:rPr>
          <w:rFonts w:ascii="Times New Roman" w:hAnsi="Times New Roman"/>
          <w:sz w:val="24"/>
          <w:szCs w:val="24"/>
        </w:rPr>
        <w:t xml:space="preserve">Все образовательные учреждения соответствуют современным требованиям. В школах созданы локальные сети, работает Интернет, используются электронные формы учебников, на уроках используются информационные технологии, применяются дистанционные формы обучения. Спортивные площадки школ задействованы на 100% в урочное и неурочное время. </w:t>
      </w:r>
    </w:p>
    <w:bookmarkEnd w:id="5"/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15. 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Здания школ, находящихся в аварийном состоянии, отсутствуют. </w:t>
      </w:r>
      <w:bookmarkStart w:id="6" w:name="_Hlk38630555"/>
    </w:p>
    <w:p w:rsidR="00BF0C52" w:rsidRPr="00EE0172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>В 202</w:t>
      </w:r>
      <w:r w:rsidR="007B3BFB">
        <w:rPr>
          <w:rFonts w:ascii="Times New Roman" w:hAnsi="Times New Roman"/>
          <w:sz w:val="24"/>
          <w:szCs w:val="24"/>
          <w:lang w:eastAsia="ar-SA"/>
        </w:rPr>
        <w:t>2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году в рамках проекта «Приведение в нормативное состояние объектов общественной инфраструктуры муниципального значения» в общеобразовательных учреждениях проводился ремонт зданий. Ремонтные работы проводились в учреждениях: </w:t>
      </w:r>
      <w:r w:rsidR="00BF0C52" w:rsidRPr="00EE0172">
        <w:rPr>
          <w:rFonts w:ascii="Times New Roman" w:hAnsi="Times New Roman"/>
          <w:sz w:val="24"/>
          <w:szCs w:val="24"/>
        </w:rPr>
        <w:t>МБОУ "Гимназия" - отремонтированы спортивный зал, помещения школы, кровля здания и система оповещения о террористической угрозе и чрезвычайных ситуаций (г. Александровск), "ООШ № 8 им. А.П. Чехова"  - отремонтированы раздевалка, актовый зал помещения школы</w:t>
      </w:r>
      <w:r w:rsidR="00206B03" w:rsidRPr="00EE0172">
        <w:rPr>
          <w:rFonts w:ascii="Times New Roman" w:hAnsi="Times New Roman"/>
          <w:sz w:val="24"/>
          <w:szCs w:val="24"/>
        </w:rPr>
        <w:t>,</w:t>
      </w:r>
      <w:r w:rsidR="00BF0C52" w:rsidRPr="00EE0172">
        <w:rPr>
          <w:rFonts w:ascii="Times New Roman" w:hAnsi="Times New Roman"/>
          <w:sz w:val="24"/>
          <w:szCs w:val="24"/>
        </w:rPr>
        <w:t xml:space="preserve"> </w:t>
      </w:r>
      <w:r w:rsidR="00206B03" w:rsidRPr="00EE0172">
        <w:rPr>
          <w:rFonts w:ascii="Times New Roman" w:hAnsi="Times New Roman"/>
          <w:sz w:val="24"/>
          <w:szCs w:val="24"/>
        </w:rPr>
        <w:t xml:space="preserve">ремонт кабинетов и полов в коридорах </w:t>
      </w:r>
      <w:r w:rsidR="00BF0C52" w:rsidRPr="00EE0172">
        <w:rPr>
          <w:rFonts w:ascii="Times New Roman" w:hAnsi="Times New Roman"/>
          <w:sz w:val="24"/>
          <w:szCs w:val="24"/>
        </w:rPr>
        <w:t>(</w:t>
      </w:r>
      <w:r w:rsidR="007B3BFB">
        <w:rPr>
          <w:rFonts w:ascii="Times New Roman" w:hAnsi="Times New Roman"/>
          <w:sz w:val="24"/>
          <w:szCs w:val="24"/>
        </w:rPr>
        <w:t>р.</w:t>
      </w:r>
      <w:r w:rsidR="00BF0C52" w:rsidRPr="00EE0172">
        <w:rPr>
          <w:rFonts w:ascii="Times New Roman" w:hAnsi="Times New Roman"/>
          <w:sz w:val="24"/>
          <w:szCs w:val="24"/>
        </w:rPr>
        <w:t>п. Всеволодо-Вильва), МБОУ "БСОШ № 1" - отремонтированы фасад и отмостка здания, коридоры и санитарные комнаты для детей и персонала (г. Александровск)</w:t>
      </w:r>
      <w:r w:rsidR="00206B03" w:rsidRPr="00EE0172">
        <w:rPr>
          <w:rFonts w:ascii="Times New Roman" w:hAnsi="Times New Roman"/>
          <w:sz w:val="24"/>
          <w:szCs w:val="24"/>
        </w:rPr>
        <w:t>, ремонт здания МБУ ДО "ДЮЦ "Горизонт" (г. Александровск)</w:t>
      </w:r>
      <w:r w:rsidR="00EE0172" w:rsidRPr="00EE0172">
        <w:rPr>
          <w:rFonts w:ascii="Times New Roman" w:hAnsi="Times New Roman"/>
          <w:sz w:val="24"/>
          <w:szCs w:val="24"/>
        </w:rPr>
        <w:t>.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 xml:space="preserve">Общая сумма ремонтных работ составила: </w:t>
      </w:r>
      <w:r w:rsidR="00EE0172">
        <w:rPr>
          <w:rFonts w:ascii="Times New Roman" w:hAnsi="Times New Roman"/>
          <w:sz w:val="24"/>
          <w:szCs w:val="24"/>
          <w:lang w:eastAsia="ar-SA"/>
        </w:rPr>
        <w:t>16 690,4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тыс. руб</w:t>
      </w:r>
      <w:r w:rsidR="007B3BFB">
        <w:rPr>
          <w:rFonts w:ascii="Times New Roman" w:hAnsi="Times New Roman"/>
          <w:sz w:val="24"/>
          <w:szCs w:val="24"/>
          <w:lang w:eastAsia="ar-SA"/>
        </w:rPr>
        <w:t>лей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, из них </w:t>
      </w:r>
      <w:r w:rsidR="00EE0172">
        <w:rPr>
          <w:rFonts w:ascii="Times New Roman" w:hAnsi="Times New Roman"/>
          <w:sz w:val="24"/>
          <w:szCs w:val="24"/>
          <w:lang w:eastAsia="ar-SA"/>
        </w:rPr>
        <w:t>12 117,8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тыс. руб</w:t>
      </w:r>
      <w:r w:rsidR="007B3BFB">
        <w:rPr>
          <w:rFonts w:ascii="Times New Roman" w:hAnsi="Times New Roman"/>
          <w:sz w:val="24"/>
          <w:szCs w:val="24"/>
          <w:lang w:eastAsia="ar-SA"/>
        </w:rPr>
        <w:t>лей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– средства бюджета Пермского края, </w:t>
      </w:r>
      <w:r w:rsidR="00EE0172">
        <w:rPr>
          <w:rFonts w:ascii="Times New Roman" w:hAnsi="Times New Roman"/>
          <w:sz w:val="24"/>
          <w:szCs w:val="24"/>
          <w:lang w:eastAsia="ar-SA"/>
        </w:rPr>
        <w:t>4 572,6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тыс. руб</w:t>
      </w:r>
      <w:r w:rsidR="007B3BFB">
        <w:rPr>
          <w:rFonts w:ascii="Times New Roman" w:hAnsi="Times New Roman"/>
          <w:sz w:val="24"/>
          <w:szCs w:val="24"/>
          <w:lang w:eastAsia="ar-SA"/>
        </w:rPr>
        <w:t>лей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– средства местного бюджета.</w:t>
      </w:r>
    </w:p>
    <w:p w:rsidR="007B3BFB" w:rsidRPr="0089069A" w:rsidRDefault="00FD42BF" w:rsidP="00781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Работа по приведению в нормативное состояние образовательных учреждений округа в последующей перспективе продолжится в рамках сформированного плана.</w:t>
      </w:r>
    </w:p>
    <w:bookmarkEnd w:id="6"/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16. Доля детей первой и второй групп здоровья в общей численности обучающихся в муниципальных общеобразовательных учреждениях. 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По итогам 202</w:t>
      </w:r>
      <w:r w:rsidR="00B32408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4038D3">
        <w:rPr>
          <w:rFonts w:ascii="Times New Roman" w:hAnsi="Times New Roman"/>
          <w:sz w:val="24"/>
          <w:szCs w:val="24"/>
        </w:rPr>
        <w:t>ода</w:t>
      </w:r>
      <w:r w:rsidRPr="0089069A">
        <w:rPr>
          <w:rFonts w:ascii="Times New Roman" w:hAnsi="Times New Roman"/>
          <w:sz w:val="24"/>
          <w:szCs w:val="24"/>
        </w:rPr>
        <w:t xml:space="preserve"> наблюдается увеличение по отношению к 202</w:t>
      </w:r>
      <w:r w:rsidR="008A2C03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4038D3">
        <w:rPr>
          <w:rFonts w:ascii="Times New Roman" w:hAnsi="Times New Roman"/>
          <w:sz w:val="24"/>
          <w:szCs w:val="24"/>
        </w:rPr>
        <w:t>оду</w:t>
      </w:r>
      <w:r w:rsidRPr="0089069A">
        <w:rPr>
          <w:rFonts w:ascii="Times New Roman" w:hAnsi="Times New Roman"/>
          <w:sz w:val="24"/>
          <w:szCs w:val="24"/>
        </w:rPr>
        <w:t xml:space="preserve"> доли детей первой и второй групп здоровья, в общей численности обучающихся в муниципальных общеобразовательных учреждениях, с </w:t>
      </w:r>
      <w:r w:rsidR="008A2C03">
        <w:rPr>
          <w:rFonts w:ascii="Times New Roman" w:hAnsi="Times New Roman"/>
          <w:sz w:val="24"/>
          <w:szCs w:val="24"/>
        </w:rPr>
        <w:t>74</w:t>
      </w:r>
      <w:r w:rsidRPr="0089069A">
        <w:rPr>
          <w:rFonts w:ascii="Times New Roman" w:hAnsi="Times New Roman"/>
          <w:sz w:val="24"/>
          <w:szCs w:val="24"/>
        </w:rPr>
        <w:t xml:space="preserve">,0% </w:t>
      </w:r>
      <w:r w:rsidRPr="008A2C03">
        <w:rPr>
          <w:rFonts w:ascii="Times New Roman" w:hAnsi="Times New Roman"/>
          <w:sz w:val="24"/>
          <w:szCs w:val="24"/>
        </w:rPr>
        <w:t xml:space="preserve">до </w:t>
      </w:r>
      <w:r w:rsidR="008A2C03" w:rsidRPr="008A2C03">
        <w:rPr>
          <w:rFonts w:ascii="Times New Roman" w:hAnsi="Times New Roman"/>
          <w:sz w:val="24"/>
          <w:szCs w:val="24"/>
        </w:rPr>
        <w:t>86,8</w:t>
      </w:r>
      <w:r w:rsidRPr="0089069A">
        <w:rPr>
          <w:rFonts w:ascii="Times New Roman" w:hAnsi="Times New Roman"/>
          <w:sz w:val="24"/>
          <w:szCs w:val="24"/>
        </w:rPr>
        <w:t xml:space="preserve">%. </w:t>
      </w:r>
    </w:p>
    <w:p w:rsidR="004038D3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 xml:space="preserve">Для улучшения показателя в общеобразовательных учреждениях проводятся мероприятия, направленные на укрепление здоровья, а также проводятся ежегодные профилактические осмотры обучающихся, с целью выявления хронических заболеваний на ранней стадии развития. </w:t>
      </w:r>
    </w:p>
    <w:p w:rsidR="004038D3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 </w:t>
      </w:r>
      <w:r w:rsidRPr="0089069A">
        <w:rPr>
          <w:rFonts w:ascii="Times New Roman" w:hAnsi="Times New Roman"/>
          <w:sz w:val="24"/>
          <w:szCs w:val="24"/>
        </w:rPr>
        <w:t xml:space="preserve">На территории округа обучаются </w:t>
      </w:r>
      <w:r w:rsidRPr="0089069A">
        <w:rPr>
          <w:rFonts w:ascii="Times New Roman" w:hAnsi="Times New Roman"/>
          <w:bCs/>
          <w:sz w:val="24"/>
          <w:szCs w:val="24"/>
        </w:rPr>
        <w:t>во вторую смену учащиеся МБОУ</w:t>
      </w:r>
      <w:r w:rsidRPr="0089069A">
        <w:rPr>
          <w:rFonts w:ascii="Times New Roman" w:hAnsi="Times New Roman"/>
          <w:sz w:val="24"/>
          <w:szCs w:val="24"/>
        </w:rPr>
        <w:t xml:space="preserve"> «Средняя общеобразовательная школа № 6» в количестве </w:t>
      </w:r>
      <w:r w:rsidR="008A2C03">
        <w:rPr>
          <w:rFonts w:ascii="Times New Roman" w:hAnsi="Times New Roman"/>
          <w:sz w:val="24"/>
          <w:szCs w:val="24"/>
        </w:rPr>
        <w:t>152</w:t>
      </w:r>
      <w:r w:rsidRPr="0089069A">
        <w:rPr>
          <w:rFonts w:ascii="Times New Roman" w:hAnsi="Times New Roman"/>
          <w:sz w:val="24"/>
          <w:szCs w:val="24"/>
        </w:rPr>
        <w:t xml:space="preserve"> человек. Это обусловлено комплектацией и перераспределением классов. Показатель в отчетном периоде составил </w:t>
      </w:r>
      <w:r w:rsidR="008A2C03">
        <w:rPr>
          <w:rFonts w:ascii="Times New Roman" w:hAnsi="Times New Roman"/>
          <w:sz w:val="24"/>
          <w:szCs w:val="24"/>
        </w:rPr>
        <w:t>4,9</w:t>
      </w:r>
      <w:r w:rsidRPr="0089069A">
        <w:rPr>
          <w:rFonts w:ascii="Times New Roman" w:hAnsi="Times New Roman"/>
          <w:sz w:val="24"/>
          <w:szCs w:val="24"/>
        </w:rPr>
        <w:t xml:space="preserve">. На прогнозируемый период </w:t>
      </w:r>
      <w:r w:rsidR="00DE352C" w:rsidRPr="0089069A">
        <w:rPr>
          <w:rFonts w:ascii="Times New Roman" w:hAnsi="Times New Roman"/>
          <w:sz w:val="24"/>
          <w:szCs w:val="24"/>
        </w:rPr>
        <w:t>снижение показателя</w:t>
      </w:r>
      <w:r w:rsidRPr="0089069A">
        <w:rPr>
          <w:rFonts w:ascii="Times New Roman" w:hAnsi="Times New Roman"/>
          <w:sz w:val="24"/>
          <w:szCs w:val="24"/>
        </w:rPr>
        <w:t xml:space="preserve"> не планируется</w:t>
      </w:r>
      <w:r w:rsidRPr="0089069A">
        <w:rPr>
          <w:rFonts w:ascii="Times New Roman" w:hAnsi="Times New Roman"/>
          <w:bCs/>
          <w:sz w:val="24"/>
          <w:szCs w:val="24"/>
        </w:rPr>
        <w:t>.</w:t>
      </w:r>
      <w:r w:rsidRPr="0089069A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D42BF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18. Расходы бюджета муниципального образования на общее образование в расчете на 1 обучающегося в муниципальных общеобразовательных учреждениях. </w:t>
      </w:r>
    </w:p>
    <w:p w:rsidR="004038D3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Развитие сферы образования на территории округа осуществляется в рамках реализации муниципальной программы «Развитие системы образования Александровского муниципального округа», утвержденной постановлением администрации Александровского муниципального района от 21.10.2019 № 545. В 202</w:t>
      </w:r>
      <w:r w:rsidR="00C003DE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4038D3">
        <w:rPr>
          <w:rFonts w:ascii="Times New Roman" w:hAnsi="Times New Roman"/>
          <w:sz w:val="24"/>
          <w:szCs w:val="24"/>
        </w:rPr>
        <w:t>оду</w:t>
      </w:r>
      <w:r w:rsidRPr="0089069A">
        <w:rPr>
          <w:rFonts w:ascii="Times New Roman" w:hAnsi="Times New Roman"/>
          <w:sz w:val="24"/>
          <w:szCs w:val="24"/>
        </w:rPr>
        <w:t xml:space="preserve"> на эти цели было направлено </w:t>
      </w:r>
      <w:r w:rsidR="00C003DE">
        <w:rPr>
          <w:rFonts w:ascii="Times New Roman" w:hAnsi="Times New Roman"/>
          <w:sz w:val="24"/>
          <w:szCs w:val="24"/>
        </w:rPr>
        <w:t>417 649,3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069A">
        <w:rPr>
          <w:rFonts w:ascii="Times New Roman" w:hAnsi="Times New Roman"/>
          <w:sz w:val="24"/>
          <w:szCs w:val="24"/>
        </w:rPr>
        <w:t>тыс.руб</w:t>
      </w:r>
      <w:r w:rsidR="004038D3">
        <w:rPr>
          <w:rFonts w:ascii="Times New Roman" w:hAnsi="Times New Roman"/>
          <w:sz w:val="24"/>
          <w:szCs w:val="24"/>
        </w:rPr>
        <w:t>лей</w:t>
      </w:r>
      <w:proofErr w:type="gramEnd"/>
      <w:r w:rsidRPr="0089069A">
        <w:rPr>
          <w:rFonts w:ascii="Times New Roman" w:hAnsi="Times New Roman"/>
          <w:sz w:val="24"/>
          <w:szCs w:val="24"/>
        </w:rPr>
        <w:t xml:space="preserve">, это на </w:t>
      </w:r>
      <w:r w:rsidR="00C003DE">
        <w:rPr>
          <w:rFonts w:ascii="Times New Roman" w:hAnsi="Times New Roman"/>
          <w:sz w:val="24"/>
          <w:szCs w:val="24"/>
        </w:rPr>
        <w:t>47 589,1</w:t>
      </w:r>
      <w:r w:rsidRPr="0089069A">
        <w:rPr>
          <w:rFonts w:ascii="Times New Roman" w:hAnsi="Times New Roman"/>
          <w:sz w:val="24"/>
          <w:szCs w:val="24"/>
        </w:rPr>
        <w:t xml:space="preserve"> тыс.руб</w:t>
      </w:r>
      <w:r w:rsidR="004038D3">
        <w:rPr>
          <w:rFonts w:ascii="Times New Roman" w:hAnsi="Times New Roman"/>
          <w:sz w:val="24"/>
          <w:szCs w:val="24"/>
        </w:rPr>
        <w:t>лей</w:t>
      </w:r>
      <w:r w:rsidRPr="0089069A">
        <w:rPr>
          <w:rFonts w:ascii="Times New Roman" w:hAnsi="Times New Roman"/>
          <w:sz w:val="24"/>
          <w:szCs w:val="24"/>
        </w:rPr>
        <w:t xml:space="preserve"> или </w:t>
      </w:r>
      <w:r w:rsidR="00C003DE">
        <w:rPr>
          <w:rFonts w:ascii="Times New Roman" w:hAnsi="Times New Roman"/>
          <w:sz w:val="24"/>
          <w:szCs w:val="24"/>
        </w:rPr>
        <w:t>10,2</w:t>
      </w:r>
      <w:r w:rsidRPr="0089069A">
        <w:rPr>
          <w:rFonts w:ascii="Times New Roman" w:hAnsi="Times New Roman"/>
          <w:sz w:val="24"/>
          <w:szCs w:val="24"/>
        </w:rPr>
        <w:t xml:space="preserve">% </w:t>
      </w:r>
      <w:r w:rsidR="00C003DE">
        <w:rPr>
          <w:rFonts w:ascii="Times New Roman" w:hAnsi="Times New Roman"/>
          <w:sz w:val="24"/>
          <w:szCs w:val="24"/>
        </w:rPr>
        <w:t>меньше</w:t>
      </w:r>
      <w:r w:rsidRPr="0089069A">
        <w:rPr>
          <w:rFonts w:ascii="Times New Roman" w:hAnsi="Times New Roman"/>
          <w:sz w:val="24"/>
          <w:szCs w:val="24"/>
        </w:rPr>
        <w:t>, чем в 202</w:t>
      </w:r>
      <w:r w:rsidR="00C003DE">
        <w:rPr>
          <w:rFonts w:ascii="Times New Roman" w:hAnsi="Times New Roman"/>
          <w:sz w:val="24"/>
          <w:szCs w:val="24"/>
        </w:rPr>
        <w:t>1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4038D3">
        <w:rPr>
          <w:rFonts w:ascii="Times New Roman" w:hAnsi="Times New Roman"/>
          <w:sz w:val="24"/>
          <w:szCs w:val="24"/>
        </w:rPr>
        <w:t xml:space="preserve">оду. </w:t>
      </w:r>
      <w:r w:rsidRPr="0089069A">
        <w:rPr>
          <w:rFonts w:ascii="Times New Roman" w:hAnsi="Times New Roman"/>
          <w:sz w:val="24"/>
          <w:szCs w:val="24"/>
        </w:rPr>
        <w:t xml:space="preserve"> Наибольший удельный вес в общем объеме затраченных средств приходится на средства краевого бюджета – </w:t>
      </w:r>
      <w:r w:rsidR="00C003DE">
        <w:rPr>
          <w:rFonts w:ascii="Times New Roman" w:hAnsi="Times New Roman"/>
          <w:sz w:val="24"/>
          <w:szCs w:val="24"/>
        </w:rPr>
        <w:t>71,0</w:t>
      </w:r>
      <w:r w:rsidRPr="0089069A">
        <w:rPr>
          <w:rFonts w:ascii="Times New Roman" w:hAnsi="Times New Roman"/>
          <w:sz w:val="24"/>
          <w:szCs w:val="24"/>
        </w:rPr>
        <w:t>%. Что касается расходов бюджета муниципального образования на общее образование, то на 1 обучающегося в муниципальных общеобразовательных учреждениях в истекшем периоде пришлось 70,</w:t>
      </w:r>
      <w:r w:rsidR="00DE352C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 xml:space="preserve"> тыс.</w:t>
      </w:r>
      <w:r w:rsidR="005E4219">
        <w:rPr>
          <w:rFonts w:ascii="Times New Roman" w:hAnsi="Times New Roman"/>
          <w:sz w:val="24"/>
          <w:szCs w:val="24"/>
        </w:rPr>
        <w:t xml:space="preserve"> </w:t>
      </w:r>
      <w:r w:rsidRPr="0089069A">
        <w:rPr>
          <w:rFonts w:ascii="Times New Roman" w:hAnsi="Times New Roman"/>
          <w:sz w:val="24"/>
          <w:szCs w:val="24"/>
        </w:rPr>
        <w:t>руб</w:t>
      </w:r>
      <w:r w:rsidR="004038D3">
        <w:rPr>
          <w:rFonts w:ascii="Times New Roman" w:hAnsi="Times New Roman"/>
          <w:sz w:val="24"/>
          <w:szCs w:val="24"/>
        </w:rPr>
        <w:t xml:space="preserve">лей. </w:t>
      </w:r>
      <w:r w:rsidRPr="0089069A">
        <w:rPr>
          <w:rFonts w:ascii="Times New Roman" w:hAnsi="Times New Roman"/>
          <w:sz w:val="24"/>
          <w:szCs w:val="24"/>
        </w:rPr>
        <w:t xml:space="preserve"> В период 202</w:t>
      </w:r>
      <w:r w:rsidR="00DE352C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>-202</w:t>
      </w:r>
      <w:r w:rsidR="00DE352C">
        <w:rPr>
          <w:rFonts w:ascii="Times New Roman" w:hAnsi="Times New Roman"/>
          <w:sz w:val="24"/>
          <w:szCs w:val="24"/>
        </w:rPr>
        <w:t>5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4038D3">
        <w:rPr>
          <w:rFonts w:ascii="Times New Roman" w:hAnsi="Times New Roman"/>
          <w:sz w:val="24"/>
          <w:szCs w:val="24"/>
        </w:rPr>
        <w:t>годов</w:t>
      </w:r>
      <w:r w:rsidRPr="0089069A">
        <w:rPr>
          <w:rFonts w:ascii="Times New Roman" w:hAnsi="Times New Roman"/>
          <w:sz w:val="24"/>
          <w:szCs w:val="24"/>
        </w:rPr>
        <w:t xml:space="preserve"> планируется сохранение данного показателя на уровне 202</w:t>
      </w:r>
      <w:r w:rsidR="00DE352C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</w:t>
      </w:r>
      <w:r w:rsidR="004038D3">
        <w:rPr>
          <w:rFonts w:ascii="Times New Roman" w:hAnsi="Times New Roman"/>
          <w:sz w:val="24"/>
          <w:szCs w:val="24"/>
        </w:rPr>
        <w:t>ода.</w:t>
      </w:r>
    </w:p>
    <w:p w:rsidR="004038D3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38D3">
        <w:rPr>
          <w:rFonts w:ascii="Times New Roman" w:hAnsi="Times New Roman"/>
          <w:b/>
          <w:sz w:val="24"/>
          <w:szCs w:val="24"/>
        </w:rPr>
        <w:t xml:space="preserve">19. </w:t>
      </w:r>
      <w:r w:rsidRPr="004038D3">
        <w:rPr>
          <w:rFonts w:ascii="Times New Roman" w:hAnsi="Times New Roman"/>
          <w:b/>
          <w:bCs/>
          <w:sz w:val="24"/>
          <w:szCs w:val="24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  <w:r w:rsidR="004038D3" w:rsidRPr="005B571D">
        <w:rPr>
          <w:rFonts w:ascii="Times New Roman CYR" w:hAnsi="Times New Roman CYR" w:cs="Times New Roman CYR"/>
          <w:sz w:val="24"/>
          <w:szCs w:val="24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увеличилась на </w:t>
      </w:r>
      <w:r w:rsidR="005E4219">
        <w:rPr>
          <w:rFonts w:ascii="Times New Roman CYR" w:hAnsi="Times New Roman CYR" w:cs="Times New Roman CYR"/>
          <w:sz w:val="24"/>
          <w:szCs w:val="24"/>
        </w:rPr>
        <w:t>3,9</w:t>
      </w:r>
      <w:r w:rsidR="004038D3" w:rsidRPr="005B571D">
        <w:rPr>
          <w:rFonts w:ascii="Times New Roman CYR" w:hAnsi="Times New Roman CYR" w:cs="Times New Roman CYR"/>
          <w:sz w:val="24"/>
          <w:szCs w:val="24"/>
        </w:rPr>
        <w:t xml:space="preserve"> % по сравнению с 202</w:t>
      </w:r>
      <w:r w:rsidR="005E4219">
        <w:rPr>
          <w:rFonts w:ascii="Times New Roman CYR" w:hAnsi="Times New Roman CYR" w:cs="Times New Roman CYR"/>
          <w:sz w:val="24"/>
          <w:szCs w:val="24"/>
        </w:rPr>
        <w:t>1</w:t>
      </w:r>
      <w:r w:rsidR="004038D3" w:rsidRPr="005B571D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5E4219">
        <w:rPr>
          <w:rFonts w:ascii="Times New Roman CYR" w:hAnsi="Times New Roman CYR" w:cs="Times New Roman CYR"/>
          <w:sz w:val="24"/>
          <w:szCs w:val="24"/>
        </w:rPr>
        <w:t xml:space="preserve">одом </w:t>
      </w:r>
      <w:r w:rsidR="004038D3" w:rsidRPr="005B571D">
        <w:rPr>
          <w:rFonts w:ascii="Times New Roman CYR" w:hAnsi="Times New Roman CYR" w:cs="Times New Roman CYR"/>
          <w:sz w:val="24"/>
          <w:szCs w:val="24"/>
        </w:rPr>
        <w:t xml:space="preserve">из-за спада заболеваемости корона-вирусной инфекции и снятия </w:t>
      </w:r>
      <w:r w:rsidR="005E4219" w:rsidRPr="005B571D">
        <w:rPr>
          <w:rFonts w:ascii="Times New Roman CYR" w:hAnsi="Times New Roman CYR" w:cs="Times New Roman CYR"/>
          <w:sz w:val="24"/>
          <w:szCs w:val="24"/>
        </w:rPr>
        <w:t>превентивных</w:t>
      </w:r>
      <w:r w:rsidR="004038D3" w:rsidRPr="005B571D">
        <w:rPr>
          <w:rFonts w:ascii="Times New Roman CYR" w:hAnsi="Times New Roman CYR" w:cs="Times New Roman CYR"/>
          <w:sz w:val="24"/>
          <w:szCs w:val="24"/>
        </w:rPr>
        <w:t xml:space="preserve"> мер.</w:t>
      </w:r>
    </w:p>
    <w:p w:rsidR="004038D3" w:rsidRPr="0089069A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На 202</w:t>
      </w:r>
      <w:r w:rsidR="005E4219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>-202</w:t>
      </w:r>
      <w:r w:rsidR="005E4219">
        <w:rPr>
          <w:rFonts w:ascii="Times New Roman" w:hAnsi="Times New Roman"/>
          <w:sz w:val="24"/>
          <w:szCs w:val="24"/>
        </w:rPr>
        <w:t>5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5E4219">
        <w:rPr>
          <w:rFonts w:ascii="Times New Roman" w:hAnsi="Times New Roman"/>
          <w:sz w:val="24"/>
          <w:szCs w:val="24"/>
        </w:rPr>
        <w:t>года</w:t>
      </w:r>
      <w:r w:rsidRPr="0089069A">
        <w:rPr>
          <w:rFonts w:ascii="Times New Roman" w:hAnsi="Times New Roman"/>
          <w:sz w:val="24"/>
          <w:szCs w:val="24"/>
        </w:rPr>
        <w:t xml:space="preserve"> прогнозируется </w:t>
      </w:r>
      <w:r w:rsidR="00E629A2" w:rsidRPr="0089069A">
        <w:rPr>
          <w:rFonts w:ascii="Times New Roman" w:hAnsi="Times New Roman"/>
          <w:sz w:val="24"/>
          <w:szCs w:val="24"/>
        </w:rPr>
        <w:t>увеличение показателя</w:t>
      </w:r>
      <w:r w:rsidRPr="0089069A">
        <w:rPr>
          <w:rFonts w:ascii="Times New Roman" w:hAnsi="Times New Roman"/>
          <w:sz w:val="24"/>
          <w:szCs w:val="24"/>
        </w:rPr>
        <w:t xml:space="preserve"> до </w:t>
      </w:r>
      <w:r w:rsidR="005E4219">
        <w:rPr>
          <w:rFonts w:ascii="Times New Roman" w:hAnsi="Times New Roman"/>
          <w:sz w:val="24"/>
          <w:szCs w:val="24"/>
        </w:rPr>
        <w:t>80</w:t>
      </w:r>
      <w:r w:rsidRPr="0089069A">
        <w:rPr>
          <w:rFonts w:ascii="Times New Roman" w:hAnsi="Times New Roman"/>
          <w:sz w:val="24"/>
          <w:szCs w:val="24"/>
        </w:rPr>
        <w:t>,0%.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Pr="0089069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E629A2" w:rsidRPr="0089069A">
        <w:rPr>
          <w:rFonts w:ascii="Times New Roman" w:hAnsi="Times New Roman"/>
          <w:b/>
          <w:sz w:val="24"/>
          <w:szCs w:val="24"/>
        </w:rPr>
        <w:t>4.</w:t>
      </w:r>
      <w:r w:rsidR="00E629A2" w:rsidRPr="0089069A">
        <w:rPr>
          <w:rFonts w:ascii="Times New Roman" w:hAnsi="Times New Roman"/>
          <w:b/>
          <w:bCs/>
          <w:sz w:val="24"/>
          <w:szCs w:val="24"/>
        </w:rPr>
        <w:t xml:space="preserve"> Культура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5E42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5E421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Александровского муниципального округа функционировало </w:t>
      </w:r>
      <w:r w:rsidR="00A1129C">
        <w:rPr>
          <w:rFonts w:ascii="Times New Roman" w:hAnsi="Times New Roman"/>
          <w:sz w:val="24"/>
          <w:szCs w:val="24"/>
          <w:lang w:eastAsia="ru-RU"/>
        </w:rPr>
        <w:t>17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учреждений культуры, в том </w:t>
      </w:r>
      <w:r w:rsidR="00E629A2"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числе </w:t>
      </w:r>
      <w:r w:rsidR="00A1129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юридических лиц и 10 структурных подразделений: </w:t>
      </w:r>
    </w:p>
    <w:p w:rsidR="00FD42BF" w:rsidRPr="0089069A" w:rsidRDefault="00FD42BF" w:rsidP="00781827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>Библиотеки – 6 единиц: 2 юридических лица и 4 структурных подразделения:</w:t>
      </w:r>
    </w:p>
    <w:p w:rsidR="00FD42BF" w:rsidRPr="0089069A" w:rsidRDefault="00FD42BF" w:rsidP="00781827">
      <w:p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>- Муниципальное бюджетное учреждение «Центральная городская библиотека» Александровского городского поселения со структурным подразделением «Библиотека п. Луньевка»;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Муниципальное казенное учреждение «Объединение библиотек»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Всеволодо-Вильвенского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со структурными подразделениями «Библиотека семейного чтения п. Карьер-Известняк», «Библиотека п.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Ивакинский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 Карьер», «Библиотека с.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Усть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Игум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>»;</w:t>
      </w:r>
    </w:p>
    <w:p w:rsidR="00FD42BF" w:rsidRPr="0089069A" w:rsidRDefault="00FD42BF" w:rsidP="00781827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>Библиотечно-музейный центр – 2 единицы: 1 юридическое лицо и 1 структурное подразделение: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 xml:space="preserve">- Муниципальное казенное учреждение «Библиотечно-музейный центр» 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Яйвинского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и структурное подразделение «</w:t>
      </w:r>
      <w:proofErr w:type="spellStart"/>
      <w:r w:rsidRPr="0089069A">
        <w:rPr>
          <w:rFonts w:ascii="Times New Roman" w:hAnsi="Times New Roman"/>
          <w:sz w:val="24"/>
          <w:szCs w:val="24"/>
          <w:lang w:eastAsia="ru-RU"/>
        </w:rPr>
        <w:t>Яйвинский</w:t>
      </w:r>
      <w:proofErr w:type="spellEnd"/>
      <w:r w:rsidRPr="0089069A">
        <w:rPr>
          <w:rFonts w:ascii="Times New Roman" w:hAnsi="Times New Roman"/>
          <w:sz w:val="24"/>
          <w:szCs w:val="24"/>
          <w:lang w:eastAsia="ru-RU"/>
        </w:rPr>
        <w:t xml:space="preserve"> краеведческий музей»;</w:t>
      </w:r>
    </w:p>
    <w:p w:rsidR="00FD42BF" w:rsidRPr="0089069A" w:rsidRDefault="00FD42BF" w:rsidP="00781827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sz w:val="24"/>
          <w:szCs w:val="24"/>
          <w:lang w:eastAsia="ru-RU"/>
        </w:rPr>
        <w:t>Музей – 1 единица: 1 юридическое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лицо: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бюджетное учреждение «Краеведческий музей» Александровского городского поселения;</w:t>
      </w:r>
    </w:p>
    <w:p w:rsidR="00FD42BF" w:rsidRPr="0089069A" w:rsidRDefault="00FD42BF" w:rsidP="00781827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Культурно-досуговые учреждения – </w:t>
      </w:r>
      <w:r w:rsidR="00A1591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единиц: </w:t>
      </w:r>
      <w:r w:rsidR="00A1591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юридических лица и 5 структурных подразделений: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бюджетное учреждение «Городской Дворец Культуры» Александровского городского поселения со структурными подразделениями в п. Луньевка, в п. Лытвенский;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Муниципальное бюджетное учреждение </w:t>
      </w:r>
      <w:proofErr w:type="spellStart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Всеволодо-Вильвенского</w:t>
      </w:r>
      <w:proofErr w:type="spellEnd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«Центр культуры, спорта, туризма, патриотического воспитания и молодежной политики «Химик» с филиалами в п. Карьер-Известняк, п. </w:t>
      </w:r>
      <w:proofErr w:type="spellStart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Ивакинский</w:t>
      </w:r>
      <w:proofErr w:type="spellEnd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Карьер, с. </w:t>
      </w:r>
      <w:proofErr w:type="spellStart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Усть-Игум</w:t>
      </w:r>
      <w:proofErr w:type="spellEnd"/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D42BF" w:rsidRPr="0089069A" w:rsidRDefault="00FD42BF" w:rsidP="00781827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9069A">
        <w:rPr>
          <w:rFonts w:ascii="Times New Roman" w:hAnsi="Times New Roman"/>
          <w:sz w:val="24"/>
          <w:szCs w:val="24"/>
        </w:rPr>
        <w:t>Муниципальное казенное учреждение «Дворец культуры «Энергетик» п. Яйва.</w:t>
      </w:r>
    </w:p>
    <w:p w:rsidR="00FD42BF" w:rsidRPr="0089069A" w:rsidRDefault="00FD42BF" w:rsidP="00781827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ru-RU"/>
        </w:rPr>
        <w:t>Кинозал – 1 единица: 1 структурное подразделение:</w:t>
      </w:r>
    </w:p>
    <w:p w:rsidR="005E4219" w:rsidRPr="00781827" w:rsidRDefault="00FD42BF" w:rsidP="0078182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069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- Кинотеатр – структурное подразделение Муниципального бюджетного учреждения «Юпитер»</w:t>
      </w:r>
      <w:r w:rsidR="0078182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FD42BF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/>
          <w:b/>
          <w:iCs/>
          <w:sz w:val="24"/>
          <w:szCs w:val="24"/>
        </w:rPr>
        <w:t xml:space="preserve">20. </w:t>
      </w:r>
      <w:r w:rsidRPr="0089069A">
        <w:rPr>
          <w:rFonts w:ascii="Times New Roman" w:hAnsi="Times New Roman"/>
          <w:b/>
          <w:bCs/>
          <w:iCs/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отдыха. </w:t>
      </w:r>
      <w:r w:rsidRPr="0089069A">
        <w:rPr>
          <w:rFonts w:ascii="Times New Roman" w:hAnsi="Times New Roman"/>
          <w:sz w:val="24"/>
          <w:szCs w:val="24"/>
        </w:rPr>
        <w:t>В 202</w:t>
      </w:r>
      <w:r w:rsidR="00A1129C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4219">
        <w:rPr>
          <w:rFonts w:ascii="Times New Roman" w:hAnsi="Times New Roman"/>
          <w:sz w:val="24"/>
          <w:szCs w:val="24"/>
        </w:rPr>
        <w:t xml:space="preserve">году </w:t>
      </w:r>
      <w:r w:rsidRPr="0089069A">
        <w:rPr>
          <w:rFonts w:ascii="Times New Roman" w:hAnsi="Times New Roman"/>
          <w:sz w:val="24"/>
          <w:szCs w:val="24"/>
        </w:rPr>
        <w:t xml:space="preserve"> уровень</w:t>
      </w:r>
      <w:proofErr w:type="gramEnd"/>
      <w:r w:rsidRPr="0089069A">
        <w:rPr>
          <w:rFonts w:ascii="Times New Roman" w:hAnsi="Times New Roman"/>
          <w:sz w:val="24"/>
          <w:szCs w:val="24"/>
        </w:rPr>
        <w:t xml:space="preserve"> фактической обеспеченности клубами и учреждениями клубного типа составил 100%. Аналогичная ситуация просматривается и с обеспеченностью библиотеками. В последующие периоды изменений значений указанных показателей не ожидается.</w:t>
      </w:r>
    </w:p>
    <w:p w:rsidR="005E4219" w:rsidRPr="00781827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9069A">
        <w:rPr>
          <w:rFonts w:ascii="Times New Roman" w:hAnsi="Times New Roman"/>
          <w:iCs/>
          <w:sz w:val="24"/>
          <w:szCs w:val="24"/>
        </w:rPr>
        <w:t>Парки культуры и отдыха на территории Александровского муниципального округа отсутствуют.</w:t>
      </w:r>
    </w:p>
    <w:p w:rsidR="00FD42BF" w:rsidRDefault="00FD42BF" w:rsidP="00781827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t>21.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</w:p>
    <w:p w:rsidR="00B82DC0" w:rsidRDefault="00BD46A6" w:rsidP="00781827">
      <w:pPr>
        <w:widowControl w:val="0"/>
        <w:tabs>
          <w:tab w:val="left" w:pos="1276"/>
          <w:tab w:val="left" w:pos="9072"/>
        </w:tabs>
        <w:autoSpaceDE w:val="0"/>
        <w:autoSpaceDN w:val="0"/>
        <w:spacing w:before="8" w:after="0" w:line="240" w:lineRule="auto"/>
        <w:ind w:right="-1" w:firstLine="993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D46A6">
        <w:rPr>
          <w:rFonts w:ascii="Times New Roman" w:eastAsia="Times New Roman" w:hAnsi="Times New Roman"/>
          <w:bCs/>
          <w:sz w:val="24"/>
          <w:szCs w:val="24"/>
        </w:rPr>
        <w:t xml:space="preserve">В 2022 году реализованы следующие виды работ, </w:t>
      </w:r>
      <w:r w:rsidRPr="00B82DC0">
        <w:rPr>
          <w:rFonts w:ascii="Times New Roman" w:eastAsia="Times New Roman" w:hAnsi="Times New Roman"/>
          <w:bCs/>
          <w:sz w:val="24"/>
          <w:szCs w:val="24"/>
        </w:rPr>
        <w:t>направленные</w:t>
      </w:r>
      <w:r w:rsidRPr="00BD46A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Pr="00BD46A6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bCs/>
          <w:sz w:val="24"/>
          <w:szCs w:val="24"/>
        </w:rPr>
        <w:t>укрепление</w:t>
      </w:r>
      <w:r w:rsidRPr="00BD46A6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bCs/>
          <w:sz w:val="24"/>
          <w:szCs w:val="24"/>
        </w:rPr>
        <w:t>материально-технической</w:t>
      </w:r>
      <w:r w:rsidRPr="00BD46A6">
        <w:rPr>
          <w:rFonts w:ascii="Times New Roman" w:eastAsia="Times New Roman" w:hAnsi="Times New Roman"/>
          <w:bCs/>
          <w:spacing w:val="-6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bCs/>
          <w:sz w:val="24"/>
          <w:szCs w:val="24"/>
        </w:rPr>
        <w:t>базы</w:t>
      </w:r>
      <w:r w:rsidRPr="00BD46A6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bCs/>
          <w:sz w:val="24"/>
          <w:szCs w:val="24"/>
        </w:rPr>
        <w:t>учреждений</w:t>
      </w:r>
      <w:r w:rsidRPr="00BD46A6">
        <w:rPr>
          <w:rFonts w:ascii="Times New Roman" w:eastAsia="Times New Roman" w:hAnsi="Times New Roman"/>
          <w:bCs/>
          <w:spacing w:val="2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bCs/>
          <w:sz w:val="24"/>
          <w:szCs w:val="24"/>
        </w:rPr>
        <w:t>культуры:</w:t>
      </w:r>
      <w:r w:rsidRPr="00B82D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МБУ</w:t>
      </w:r>
      <w:r w:rsidRPr="00B8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2DC0">
        <w:rPr>
          <w:rFonts w:ascii="Times New Roman" w:hAnsi="Times New Roman"/>
          <w:sz w:val="24"/>
          <w:szCs w:val="24"/>
          <w:lang w:eastAsia="ru-RU"/>
        </w:rPr>
        <w:t xml:space="preserve">«Городской Дворец Культуры» </w:t>
      </w:r>
      <w:r w:rsidRPr="00BD46A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-</w:t>
      </w:r>
      <w:r w:rsidRPr="00BD46A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ремонт</w:t>
      </w:r>
      <w:r w:rsidRPr="00BD46A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proofErr w:type="spellStart"/>
      <w:r w:rsidRPr="00BD46A6">
        <w:rPr>
          <w:rFonts w:ascii="Times New Roman" w:eastAsia="Times New Roman" w:hAnsi="Times New Roman"/>
          <w:sz w:val="24"/>
          <w:szCs w:val="24"/>
        </w:rPr>
        <w:t>дискозала</w:t>
      </w:r>
      <w:proofErr w:type="spellEnd"/>
      <w:r w:rsidRPr="00BD46A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1-го</w:t>
      </w:r>
      <w:r w:rsidRPr="00BD46A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этажа</w:t>
      </w:r>
      <w:r w:rsidRPr="00BD46A6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и</w:t>
      </w:r>
      <w:r w:rsidRPr="00BD46A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прилегающих</w:t>
      </w:r>
      <w:r w:rsidRPr="00BD46A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помещений,</w:t>
      </w:r>
      <w:r w:rsidRPr="00BD46A6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в</w:t>
      </w:r>
      <w:r w:rsidRPr="00BD46A6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том</w:t>
      </w:r>
      <w:r w:rsidRPr="00BD46A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числе</w:t>
      </w:r>
      <w:r w:rsidRPr="00BD46A6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устройство</w:t>
      </w:r>
      <w:r w:rsidRPr="00BD46A6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туалета</w:t>
      </w:r>
      <w:r w:rsidRPr="00BD46A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для</w:t>
      </w:r>
      <w:r w:rsidRPr="00BD46A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инвалидов;</w:t>
      </w:r>
      <w:r w:rsidRPr="00BD46A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ремонт</w:t>
      </w:r>
      <w:r w:rsidRPr="00BD46A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балетного</w:t>
      </w:r>
      <w:r w:rsidRPr="00BD46A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класса</w:t>
      </w:r>
      <w:r w:rsidRPr="00BD46A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на</w:t>
      </w:r>
      <w:r w:rsidRPr="00BD46A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1</w:t>
      </w:r>
      <w:r w:rsidRPr="00B82D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этаж</w:t>
      </w:r>
      <w:r w:rsidRPr="00B82DC0">
        <w:rPr>
          <w:rFonts w:ascii="Times New Roman" w:eastAsia="Times New Roman" w:hAnsi="Times New Roman"/>
          <w:sz w:val="24"/>
          <w:szCs w:val="24"/>
        </w:rPr>
        <w:t>е,</w:t>
      </w:r>
      <w:r w:rsidRPr="00B82DC0">
        <w:rPr>
          <w:rFonts w:ascii="Times New Roman" w:eastAsia="Times New Roman" w:hAnsi="Times New Roman"/>
          <w:spacing w:val="102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устройство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перегородок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в левом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крыле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второго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этажа,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ремонт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фасада на общую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сумму</w:t>
      </w:r>
      <w:r w:rsidRPr="00BD46A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422,31</w:t>
      </w:r>
      <w:r w:rsidRPr="00BD46A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тыс.</w:t>
      </w:r>
      <w:r w:rsidRPr="00BD46A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рублей</w:t>
      </w:r>
      <w:r w:rsidRPr="00B82DC0">
        <w:rPr>
          <w:rFonts w:ascii="Times New Roman" w:eastAsia="Times New Roman" w:hAnsi="Times New Roman"/>
          <w:sz w:val="24"/>
          <w:szCs w:val="24"/>
        </w:rPr>
        <w:t xml:space="preserve"> (г. Александровск);</w:t>
      </w:r>
      <w:r w:rsidRPr="00B82D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МБУ</w:t>
      </w:r>
      <w:r w:rsidRPr="00BD46A6">
        <w:rPr>
          <w:rFonts w:ascii="Times New Roman" w:eastAsia="Times New Roman" w:hAnsi="Times New Roman"/>
          <w:spacing w:val="-6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«Химик»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w w:val="105"/>
          <w:sz w:val="24"/>
          <w:szCs w:val="24"/>
        </w:rPr>
        <w:t xml:space="preserve">-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замена</w:t>
      </w:r>
      <w:r w:rsidRPr="00BD46A6">
        <w:rPr>
          <w:rFonts w:ascii="Times New Roman" w:eastAsia="Times New Roman" w:hAnsi="Times New Roman"/>
          <w:spacing w:val="-5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окон</w:t>
      </w:r>
      <w:r w:rsidRPr="00B82DC0">
        <w:rPr>
          <w:rFonts w:ascii="Times New Roman" w:eastAsia="Times New Roman" w:hAnsi="Times New Roman"/>
          <w:w w:val="105"/>
          <w:sz w:val="24"/>
          <w:szCs w:val="24"/>
        </w:rPr>
        <w:t>ных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блоков, в</w:t>
      </w:r>
      <w:r w:rsidR="00B82DC0" w:rsidRPr="00B82DC0">
        <w:rPr>
          <w:rFonts w:ascii="Times New Roman" w:eastAsia="Times New Roman" w:hAnsi="Times New Roman"/>
          <w:w w:val="105"/>
          <w:sz w:val="24"/>
          <w:szCs w:val="24"/>
        </w:rPr>
        <w:t>ходной группы</w:t>
      </w:r>
      <w:r w:rsidRPr="00BD46A6">
        <w:rPr>
          <w:rFonts w:ascii="Times New Roman" w:eastAsia="Times New Roman" w:hAnsi="Times New Roman"/>
          <w:spacing w:val="-3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сумму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956,15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тыс.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руб</w:t>
      </w:r>
      <w:r w:rsidR="005E4219">
        <w:rPr>
          <w:rFonts w:ascii="Times New Roman" w:eastAsia="Times New Roman" w:hAnsi="Times New Roman"/>
          <w:w w:val="105"/>
          <w:sz w:val="24"/>
          <w:szCs w:val="24"/>
        </w:rPr>
        <w:t>лей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;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в ДК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«Горняк»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детально-инструмент</w:t>
      </w:r>
      <w:r w:rsidRPr="00BD46A6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обследование</w:t>
      </w:r>
      <w:r w:rsidRPr="00BD46A6">
        <w:rPr>
          <w:rFonts w:ascii="Times New Roman" w:eastAsia="Times New Roman" w:hAnsi="Times New Roman"/>
          <w:spacing w:val="18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кровли</w:t>
      </w:r>
      <w:r w:rsidRPr="00BD46A6">
        <w:rPr>
          <w:rFonts w:ascii="Times New Roman" w:eastAsia="Times New Roman" w:hAnsi="Times New Roman"/>
          <w:spacing w:val="-2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по</w:t>
      </w:r>
      <w:r w:rsidRPr="00BD46A6">
        <w:rPr>
          <w:rFonts w:ascii="Times New Roman" w:eastAsia="Times New Roman" w:hAnsi="Times New Roman"/>
          <w:spacing w:val="-9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объекту</w:t>
      </w:r>
      <w:r w:rsidRPr="00BD46A6">
        <w:rPr>
          <w:rFonts w:ascii="Times New Roman" w:eastAsia="Times New Roman" w:hAnsi="Times New Roman"/>
          <w:spacing w:val="8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на</w:t>
      </w:r>
      <w:r w:rsidRPr="00BD46A6">
        <w:rPr>
          <w:rFonts w:ascii="Times New Roman" w:eastAsia="Times New Roman" w:hAnsi="Times New Roman"/>
          <w:spacing w:val="-16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сумму</w:t>
      </w:r>
      <w:r w:rsidR="00B82DC0">
        <w:rPr>
          <w:rFonts w:ascii="Times New Roman" w:eastAsia="Times New Roman" w:hAnsi="Times New Roman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400,63</w:t>
      </w:r>
      <w:r w:rsidRPr="00BD46A6">
        <w:rPr>
          <w:rFonts w:ascii="Times New Roman" w:eastAsia="Times New Roman" w:hAnsi="Times New Roman"/>
          <w:spacing w:val="45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тыс.</w:t>
      </w:r>
      <w:r w:rsidRPr="00BD46A6">
        <w:rPr>
          <w:rFonts w:ascii="Times New Roman" w:eastAsia="Times New Roman" w:hAnsi="Times New Roman"/>
          <w:spacing w:val="-4"/>
          <w:w w:val="105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w w:val="105"/>
          <w:sz w:val="24"/>
          <w:szCs w:val="24"/>
        </w:rPr>
        <w:t>рублей</w:t>
      </w:r>
      <w:r w:rsidR="00B82DC0">
        <w:rPr>
          <w:rFonts w:ascii="Times New Roman" w:eastAsia="Times New Roman" w:hAnsi="Times New Roman"/>
          <w:w w:val="105"/>
          <w:sz w:val="24"/>
          <w:szCs w:val="24"/>
        </w:rPr>
        <w:t xml:space="preserve">; </w:t>
      </w:r>
      <w:r w:rsidRPr="00BD46A6">
        <w:rPr>
          <w:rFonts w:ascii="Times New Roman" w:eastAsia="Times New Roman" w:hAnsi="Times New Roman"/>
          <w:sz w:val="24"/>
          <w:szCs w:val="24"/>
        </w:rPr>
        <w:t>MK</w:t>
      </w:r>
      <w:r w:rsidR="00B82DC0">
        <w:rPr>
          <w:rFonts w:ascii="Times New Roman" w:eastAsia="Times New Roman" w:hAnsi="Times New Roman"/>
          <w:sz w:val="24"/>
          <w:szCs w:val="24"/>
        </w:rPr>
        <w:t>У</w:t>
      </w:r>
      <w:r w:rsidRPr="00BD46A6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«ДК</w:t>
      </w:r>
      <w:r w:rsidRPr="00BD46A6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«Энергетик»</w:t>
      </w:r>
      <w:r w:rsidRPr="00BD46A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-</w:t>
      </w:r>
      <w:r w:rsidRPr="00BD46A6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ремонт</w:t>
      </w:r>
      <w:r w:rsidRPr="00BD46A6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крыльца</w:t>
      </w:r>
      <w:r w:rsidRPr="00BD46A6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и</w:t>
      </w:r>
      <w:r w:rsidRPr="00BD46A6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входной</w:t>
      </w:r>
      <w:r w:rsidRPr="00BD46A6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="00B82DC0" w:rsidRPr="00BD46A6">
        <w:rPr>
          <w:rFonts w:ascii="Times New Roman" w:eastAsia="Times New Roman" w:hAnsi="Times New Roman"/>
          <w:sz w:val="24"/>
          <w:szCs w:val="24"/>
        </w:rPr>
        <w:t>груп</w:t>
      </w:r>
      <w:r w:rsidR="00B82DC0">
        <w:rPr>
          <w:rFonts w:ascii="Times New Roman" w:eastAsia="Times New Roman" w:hAnsi="Times New Roman"/>
          <w:sz w:val="24"/>
          <w:szCs w:val="24"/>
        </w:rPr>
        <w:t>пы</w:t>
      </w:r>
      <w:r w:rsidRPr="00BD46A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здания</w:t>
      </w:r>
      <w:r w:rsidRPr="00BD46A6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="00B82DC0">
        <w:rPr>
          <w:rFonts w:ascii="Times New Roman" w:eastAsia="Times New Roman" w:hAnsi="Times New Roman"/>
          <w:spacing w:val="-67"/>
          <w:sz w:val="24"/>
          <w:szCs w:val="24"/>
        </w:rPr>
        <w:t xml:space="preserve">                     </w:t>
      </w:r>
      <w:r w:rsidR="00B82DC0">
        <w:rPr>
          <w:rFonts w:ascii="Times New Roman" w:eastAsia="Times New Roman" w:hAnsi="Times New Roman"/>
          <w:spacing w:val="17"/>
          <w:sz w:val="24"/>
          <w:szCs w:val="24"/>
        </w:rPr>
        <w:t xml:space="preserve"> на сумму</w:t>
      </w:r>
      <w:r w:rsidRPr="00BD46A6">
        <w:rPr>
          <w:rFonts w:ascii="Times New Roman" w:eastAsia="Times New Roman" w:hAnsi="Times New Roman"/>
          <w:sz w:val="24"/>
          <w:szCs w:val="24"/>
        </w:rPr>
        <w:t>1</w:t>
      </w:r>
      <w:r w:rsidRPr="00BD46A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753,9</w:t>
      </w:r>
      <w:r w:rsidRPr="00BD46A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тыс.</w:t>
      </w:r>
      <w:r w:rsidRPr="00BD46A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D46A6">
        <w:rPr>
          <w:rFonts w:ascii="Times New Roman" w:eastAsia="Times New Roman" w:hAnsi="Times New Roman"/>
          <w:sz w:val="24"/>
          <w:szCs w:val="24"/>
        </w:rPr>
        <w:t>рублей</w:t>
      </w:r>
      <w:r w:rsidR="005E4219">
        <w:rPr>
          <w:rFonts w:ascii="Times New Roman" w:eastAsia="Times New Roman" w:hAnsi="Times New Roman"/>
          <w:sz w:val="24"/>
          <w:szCs w:val="24"/>
        </w:rPr>
        <w:t>.</w:t>
      </w:r>
    </w:p>
    <w:p w:rsidR="00BD46A6" w:rsidRPr="00B82DC0" w:rsidRDefault="00BD46A6" w:rsidP="00781827">
      <w:pPr>
        <w:pStyle w:val="ac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Библиотека</w:t>
      </w:r>
      <w:r w:rsidRPr="00B82DC0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и</w:t>
      </w:r>
      <w:r w:rsidRPr="00B82DC0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клуб</w:t>
      </w:r>
      <w:r w:rsidRPr="00B82DC0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с</w:t>
      </w:r>
      <w:r w:rsidR="005E4219">
        <w:rPr>
          <w:rFonts w:ascii="Times New Roman" w:eastAsia="Times New Roman" w:hAnsi="Times New Roman"/>
          <w:sz w:val="24"/>
          <w:szCs w:val="24"/>
          <w:lang w:eastAsia="en-US"/>
        </w:rPr>
        <w:t>ела</w:t>
      </w:r>
      <w:r w:rsidRPr="00B82DC0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Усть-Игум</w:t>
      </w:r>
      <w:proofErr w:type="spellEnd"/>
      <w:r w:rsidRPr="00B82DC0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Pr="00B82DC0">
        <w:rPr>
          <w:rFonts w:ascii="Times New Roman" w:eastAsia="Times New Roman" w:hAnsi="Times New Roman"/>
          <w:spacing w:val="70"/>
          <w:sz w:val="24"/>
          <w:szCs w:val="24"/>
          <w:lang w:eastAsia="en-US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  <w:lang w:eastAsia="en-US"/>
        </w:rPr>
        <w:t>декабре</w:t>
      </w:r>
      <w:r w:rsidRPr="00BD46A6">
        <w:rPr>
          <w:rFonts w:ascii="Times New Roman" w:eastAsia="Times New Roman" w:hAnsi="Times New Roman"/>
          <w:color w:val="3D3D3D"/>
          <w:spacing w:val="70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313131"/>
          <w:sz w:val="24"/>
          <w:szCs w:val="24"/>
          <w:lang w:eastAsia="en-US"/>
        </w:rPr>
        <w:t>2022</w:t>
      </w:r>
      <w:r w:rsidRPr="00BD46A6">
        <w:rPr>
          <w:rFonts w:ascii="Times New Roman" w:eastAsia="Times New Roman" w:hAnsi="Times New Roman"/>
          <w:color w:val="313131"/>
          <w:spacing w:val="70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232323"/>
          <w:sz w:val="24"/>
          <w:szCs w:val="24"/>
          <w:lang w:eastAsia="en-US"/>
        </w:rPr>
        <w:t>года</w:t>
      </w:r>
      <w:r w:rsidRPr="00BD46A6">
        <w:rPr>
          <w:rFonts w:ascii="Times New Roman" w:eastAsia="Times New Roman" w:hAnsi="Times New Roman"/>
          <w:color w:val="232323"/>
          <w:spacing w:val="70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1C1C1C"/>
          <w:sz w:val="24"/>
          <w:szCs w:val="24"/>
          <w:lang w:eastAsia="en-US"/>
        </w:rPr>
        <w:t>переведен</w:t>
      </w:r>
      <w:r w:rsidR="00B82DC0">
        <w:rPr>
          <w:rFonts w:ascii="Times New Roman" w:eastAsia="Times New Roman" w:hAnsi="Times New Roman"/>
          <w:color w:val="1C1C1C"/>
          <w:sz w:val="24"/>
          <w:szCs w:val="24"/>
          <w:lang w:eastAsia="en-US"/>
        </w:rPr>
        <w:t>ы</w:t>
      </w:r>
      <w:r w:rsidRPr="00BD46A6">
        <w:rPr>
          <w:rFonts w:ascii="Times New Roman" w:eastAsia="Times New Roman" w:hAnsi="Times New Roman"/>
          <w:color w:val="1C1C1C"/>
          <w:spacing w:val="70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464646"/>
          <w:sz w:val="24"/>
          <w:szCs w:val="24"/>
          <w:lang w:eastAsia="en-US"/>
        </w:rPr>
        <w:t>в</w:t>
      </w:r>
      <w:r w:rsidRPr="00BD46A6">
        <w:rPr>
          <w:rFonts w:ascii="Times New Roman" w:eastAsia="Times New Roman" w:hAnsi="Times New Roman"/>
          <w:color w:val="464646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242424"/>
          <w:sz w:val="24"/>
          <w:szCs w:val="24"/>
          <w:lang w:eastAsia="en-US"/>
        </w:rPr>
        <w:t xml:space="preserve">здание </w:t>
      </w:r>
      <w:r w:rsidRPr="00BD46A6">
        <w:rPr>
          <w:rFonts w:ascii="Times New Roman" w:eastAsia="Times New Roman" w:hAnsi="Times New Roman"/>
          <w:color w:val="2B2B2B"/>
          <w:sz w:val="24"/>
          <w:szCs w:val="24"/>
          <w:lang w:eastAsia="en-US"/>
        </w:rPr>
        <w:t>бывшей</w:t>
      </w:r>
      <w:r w:rsidRPr="00BD46A6">
        <w:rPr>
          <w:rFonts w:ascii="Times New Roman" w:eastAsia="Times New Roman" w:hAnsi="Times New Roman"/>
          <w:color w:val="2B2B2B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2D2D2D"/>
          <w:sz w:val="24"/>
          <w:szCs w:val="24"/>
          <w:lang w:eastAsia="en-US"/>
        </w:rPr>
        <w:t>школы</w:t>
      </w:r>
      <w:r w:rsidRPr="00BD46A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282828"/>
          <w:sz w:val="24"/>
          <w:szCs w:val="24"/>
          <w:lang w:eastAsia="en-US"/>
        </w:rPr>
        <w:t xml:space="preserve">по </w:t>
      </w:r>
      <w:r w:rsidRPr="00BD46A6">
        <w:rPr>
          <w:rFonts w:ascii="Times New Roman" w:eastAsia="Times New Roman" w:hAnsi="Times New Roman"/>
          <w:color w:val="2F2F2F"/>
          <w:sz w:val="24"/>
          <w:szCs w:val="24"/>
          <w:lang w:eastAsia="en-US"/>
        </w:rPr>
        <w:t>адресу</w:t>
      </w:r>
      <w:r w:rsidRPr="00BD46A6">
        <w:rPr>
          <w:rFonts w:ascii="Times New Roman" w:eastAsia="Times New Roman" w:hAnsi="Times New Roman"/>
          <w:color w:val="2F2F2F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1D1D1D"/>
          <w:sz w:val="24"/>
          <w:szCs w:val="24"/>
          <w:lang w:eastAsia="en-US"/>
        </w:rPr>
        <w:t xml:space="preserve">с. </w:t>
      </w:r>
      <w:proofErr w:type="spellStart"/>
      <w:r w:rsidRPr="00BD46A6">
        <w:rPr>
          <w:rFonts w:ascii="Times New Roman" w:eastAsia="Times New Roman" w:hAnsi="Times New Roman"/>
          <w:color w:val="1A1A1A"/>
          <w:sz w:val="24"/>
          <w:szCs w:val="24"/>
          <w:lang w:eastAsia="en-US"/>
        </w:rPr>
        <w:t>Усть-Игум</w:t>
      </w:r>
      <w:proofErr w:type="spellEnd"/>
      <w:r w:rsidRPr="00BD46A6">
        <w:rPr>
          <w:rFonts w:ascii="Times New Roman" w:eastAsia="Times New Roman" w:hAnsi="Times New Roman"/>
          <w:color w:val="1A1A1A"/>
          <w:sz w:val="24"/>
          <w:szCs w:val="24"/>
          <w:lang w:eastAsia="en-US"/>
        </w:rPr>
        <w:t>,</w:t>
      </w:r>
      <w:r w:rsidRPr="00BD46A6">
        <w:rPr>
          <w:rFonts w:ascii="Times New Roman" w:eastAsia="Times New Roman" w:hAnsi="Times New Roman"/>
          <w:color w:val="1A1A1A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313131"/>
          <w:sz w:val="24"/>
          <w:szCs w:val="24"/>
          <w:lang w:eastAsia="en-US"/>
        </w:rPr>
        <w:t xml:space="preserve">ул. </w:t>
      </w:r>
      <w:r w:rsidRPr="00BD46A6">
        <w:rPr>
          <w:rFonts w:ascii="Times New Roman" w:eastAsia="Times New Roman" w:hAnsi="Times New Roman"/>
          <w:color w:val="181818"/>
          <w:sz w:val="24"/>
          <w:szCs w:val="24"/>
          <w:lang w:eastAsia="en-US"/>
        </w:rPr>
        <w:t>Полевая,22,</w:t>
      </w:r>
      <w:r w:rsidRPr="00BD46A6">
        <w:rPr>
          <w:rFonts w:ascii="Times New Roman" w:eastAsia="Times New Roman" w:hAnsi="Times New Roman"/>
          <w:color w:val="181818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151515"/>
          <w:sz w:val="24"/>
          <w:szCs w:val="24"/>
          <w:lang w:eastAsia="en-US"/>
        </w:rPr>
        <w:t xml:space="preserve">так </w:t>
      </w:r>
      <w:r w:rsidRPr="00BD46A6">
        <w:rPr>
          <w:rFonts w:ascii="Times New Roman" w:eastAsia="Times New Roman" w:hAnsi="Times New Roman"/>
          <w:color w:val="424242"/>
          <w:sz w:val="24"/>
          <w:szCs w:val="24"/>
          <w:lang w:eastAsia="en-US"/>
        </w:rPr>
        <w:t xml:space="preserve">как </w:t>
      </w:r>
      <w:r w:rsidR="005E4219">
        <w:rPr>
          <w:rFonts w:ascii="Times New Roman" w:eastAsia="Times New Roman" w:hAnsi="Times New Roman"/>
          <w:color w:val="424242"/>
          <w:sz w:val="24"/>
          <w:szCs w:val="24"/>
          <w:lang w:eastAsia="en-US"/>
        </w:rPr>
        <w:t xml:space="preserve">бывшее </w:t>
      </w:r>
      <w:r w:rsidRPr="00BD46A6">
        <w:rPr>
          <w:rFonts w:ascii="Times New Roman" w:eastAsia="Times New Roman" w:hAnsi="Times New Roman"/>
          <w:color w:val="2D2D2D"/>
          <w:sz w:val="24"/>
          <w:szCs w:val="24"/>
          <w:lang w:eastAsia="en-US"/>
        </w:rPr>
        <w:t>здание</w:t>
      </w:r>
      <w:r w:rsidRPr="00BD46A6">
        <w:rPr>
          <w:rFonts w:ascii="Times New Roman" w:eastAsia="Times New Roman" w:hAnsi="Times New Roman"/>
          <w:color w:val="2D2D2D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262626"/>
          <w:sz w:val="24"/>
          <w:szCs w:val="24"/>
          <w:lang w:eastAsia="en-US"/>
        </w:rPr>
        <w:t>библиотеки</w:t>
      </w:r>
      <w:r w:rsidR="005E4219">
        <w:rPr>
          <w:rFonts w:ascii="Times New Roman" w:eastAsia="Times New Roman" w:hAnsi="Times New Roman"/>
          <w:color w:val="262626"/>
          <w:sz w:val="24"/>
          <w:szCs w:val="24"/>
          <w:lang w:eastAsia="en-US"/>
        </w:rPr>
        <w:t xml:space="preserve"> и клуба </w:t>
      </w:r>
      <w:r w:rsidRPr="00BD46A6">
        <w:rPr>
          <w:rFonts w:ascii="Times New Roman" w:eastAsia="Times New Roman" w:hAnsi="Times New Roman"/>
          <w:color w:val="151515"/>
          <w:sz w:val="24"/>
          <w:szCs w:val="24"/>
          <w:lang w:eastAsia="en-US"/>
        </w:rPr>
        <w:t>находилось</w:t>
      </w:r>
      <w:r w:rsidRPr="00BD46A6">
        <w:rPr>
          <w:rFonts w:ascii="Times New Roman" w:eastAsia="Times New Roman" w:hAnsi="Times New Roman"/>
          <w:color w:val="151515"/>
          <w:spacing w:val="1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383838"/>
          <w:sz w:val="24"/>
          <w:szCs w:val="24"/>
          <w:lang w:eastAsia="en-US"/>
        </w:rPr>
        <w:t>в</w:t>
      </w:r>
      <w:r w:rsidRPr="00BD46A6">
        <w:rPr>
          <w:rFonts w:ascii="Times New Roman" w:eastAsia="Times New Roman" w:hAnsi="Times New Roman"/>
          <w:color w:val="383838"/>
          <w:spacing w:val="54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343434"/>
          <w:sz w:val="24"/>
          <w:szCs w:val="24"/>
          <w:lang w:eastAsia="en-US"/>
        </w:rPr>
        <w:t>ветхом</w:t>
      </w:r>
      <w:r w:rsidRPr="00BD46A6">
        <w:rPr>
          <w:rFonts w:ascii="Times New Roman" w:eastAsia="Times New Roman" w:hAnsi="Times New Roman"/>
          <w:color w:val="343434"/>
          <w:spacing w:val="1"/>
          <w:sz w:val="24"/>
          <w:szCs w:val="24"/>
          <w:lang w:eastAsia="en-US"/>
        </w:rPr>
        <w:t xml:space="preserve"> </w:t>
      </w:r>
      <w:r w:rsidRPr="00BD46A6">
        <w:rPr>
          <w:rFonts w:ascii="Times New Roman" w:eastAsia="Times New Roman" w:hAnsi="Times New Roman"/>
          <w:color w:val="1F1F1F"/>
          <w:sz w:val="24"/>
          <w:szCs w:val="24"/>
          <w:lang w:eastAsia="en-US"/>
        </w:rPr>
        <w:t>состоянии</w:t>
      </w:r>
      <w:r w:rsidR="00B82DC0" w:rsidRPr="00B82DC0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FD42BF" w:rsidRDefault="00FD42BF" w:rsidP="0078182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9069A">
        <w:rPr>
          <w:rFonts w:ascii="Times New Roman" w:hAnsi="Times New Roman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202</w:t>
      </w:r>
      <w:r w:rsidR="00B82DC0">
        <w:rPr>
          <w:rFonts w:ascii="Times New Roman" w:hAnsi="Times New Roman"/>
          <w:sz w:val="24"/>
          <w:szCs w:val="24"/>
        </w:rPr>
        <w:t>2</w:t>
      </w:r>
      <w:r w:rsidRPr="0089069A">
        <w:rPr>
          <w:rFonts w:ascii="Times New Roman" w:hAnsi="Times New Roman"/>
          <w:sz w:val="24"/>
          <w:szCs w:val="24"/>
        </w:rPr>
        <w:t xml:space="preserve"> году составил</w:t>
      </w:r>
      <w:r w:rsidR="00B82DC0">
        <w:rPr>
          <w:rFonts w:ascii="Times New Roman" w:hAnsi="Times New Roman"/>
          <w:sz w:val="24"/>
          <w:szCs w:val="24"/>
        </w:rPr>
        <w:t>а</w:t>
      </w:r>
      <w:r w:rsidRPr="0089069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82DC0">
        <w:rPr>
          <w:rFonts w:ascii="Times New Roman" w:hAnsi="Times New Roman"/>
          <w:bCs/>
          <w:iCs/>
          <w:sz w:val="24"/>
          <w:szCs w:val="24"/>
        </w:rPr>
        <w:t>9</w:t>
      </w:r>
      <w:r w:rsidRPr="0089069A">
        <w:rPr>
          <w:rFonts w:ascii="Times New Roman" w:hAnsi="Times New Roman"/>
          <w:bCs/>
          <w:iCs/>
          <w:sz w:val="24"/>
          <w:szCs w:val="24"/>
        </w:rPr>
        <w:t>%.</w:t>
      </w:r>
      <w:r w:rsidRPr="008906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69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E4219" w:rsidRPr="00B82DC0" w:rsidRDefault="00B82DC0" w:rsidP="00781827">
      <w:pPr>
        <w:widowControl w:val="0"/>
        <w:tabs>
          <w:tab w:val="left" w:pos="1134"/>
        </w:tabs>
        <w:autoSpaceDE w:val="0"/>
        <w:autoSpaceDN w:val="0"/>
        <w:spacing w:before="8" w:after="0" w:line="240" w:lineRule="auto"/>
        <w:ind w:right="-1" w:firstLine="842"/>
        <w:jc w:val="both"/>
        <w:rPr>
          <w:rFonts w:ascii="Times New Roman" w:eastAsia="Times New Roman" w:hAnsi="Times New Roman"/>
          <w:sz w:val="24"/>
          <w:szCs w:val="24"/>
        </w:rPr>
      </w:pPr>
      <w:r w:rsidRPr="00B82DC0">
        <w:rPr>
          <w:rFonts w:ascii="Times New Roman" w:eastAsia="Times New Roman" w:hAnsi="Times New Roman"/>
          <w:sz w:val="24"/>
          <w:szCs w:val="24"/>
        </w:rPr>
        <w:t>Число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зданий,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требующих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капитального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ремонта,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из общего числа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зданий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-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1,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здание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ДК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«Горняк»</w:t>
      </w:r>
      <w:r w:rsidRPr="00B82DC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в</w:t>
      </w:r>
      <w:r w:rsidRPr="00B82DC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п.</w:t>
      </w:r>
      <w:r w:rsidRPr="00B82DC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Карьер-Известняк.</w:t>
      </w:r>
      <w:r w:rsidRPr="00B82DC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Ремонт</w:t>
      </w:r>
      <w:r w:rsidRPr="00B82DC0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крыши</w:t>
      </w:r>
      <w:r w:rsidRPr="00B82DC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перенесен</w:t>
      </w:r>
      <w:r w:rsidRPr="00B82DC0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с</w:t>
      </w:r>
      <w:r w:rsidRPr="00B82DC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2022</w:t>
      </w:r>
      <w:r w:rsidRPr="00B82DC0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года</w:t>
      </w:r>
      <w:r w:rsidRPr="00B82DC0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на</w:t>
      </w:r>
      <w:r w:rsidRPr="00B82DC0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2023</w:t>
      </w:r>
      <w:r w:rsidRPr="00B82DC0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B82DC0">
        <w:rPr>
          <w:rFonts w:ascii="Times New Roman" w:eastAsia="Times New Roman" w:hAnsi="Times New Roman"/>
          <w:sz w:val="24"/>
          <w:szCs w:val="24"/>
        </w:rPr>
        <w:t>год.</w:t>
      </w:r>
    </w:p>
    <w:p w:rsidR="005E4219" w:rsidRPr="007938FD" w:rsidRDefault="00FD42BF" w:rsidP="007938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</w:t>
      </w:r>
      <w:r w:rsidRPr="0089069A">
        <w:rPr>
          <w:rFonts w:ascii="Times New Roman" w:hAnsi="Times New Roman"/>
          <w:b/>
          <w:bCs/>
          <w:sz w:val="24"/>
          <w:szCs w:val="24"/>
        </w:rPr>
        <w:lastRenderedPageBreak/>
        <w:t xml:space="preserve">наследия, находящихся в муниципальной собственности. </w:t>
      </w:r>
      <w:r w:rsidRPr="0089069A">
        <w:rPr>
          <w:rFonts w:ascii="Times New Roman" w:hAnsi="Times New Roman"/>
          <w:sz w:val="24"/>
          <w:szCs w:val="24"/>
        </w:rPr>
        <w:t xml:space="preserve">В Александровском муниципальном округе имеется 1 объект культурного наследия, </w:t>
      </w:r>
      <w:r w:rsidRPr="0089069A">
        <w:rPr>
          <w:rFonts w:ascii="Times New Roman" w:hAnsi="Times New Roman"/>
          <w:bCs/>
          <w:sz w:val="24"/>
          <w:szCs w:val="24"/>
        </w:rPr>
        <w:t>находящийся в муниципальной собственности</w:t>
      </w:r>
      <w:r w:rsidRPr="0089069A">
        <w:rPr>
          <w:rFonts w:ascii="Times New Roman" w:hAnsi="Times New Roman"/>
          <w:sz w:val="24"/>
          <w:szCs w:val="24"/>
        </w:rPr>
        <w:t xml:space="preserve"> - здание МБУ «Краеведческий музей» (г. Александровск). Данный объект нуждается в реставрации. Реставрация музея планируется в 2025 году, поэтому плановые показатели 202</w:t>
      </w:r>
      <w:r w:rsidR="00B5767C">
        <w:rPr>
          <w:rFonts w:ascii="Times New Roman" w:hAnsi="Times New Roman"/>
          <w:sz w:val="24"/>
          <w:szCs w:val="24"/>
        </w:rPr>
        <w:t>3</w:t>
      </w:r>
      <w:r w:rsidRPr="0089069A">
        <w:rPr>
          <w:rFonts w:ascii="Times New Roman" w:hAnsi="Times New Roman"/>
          <w:sz w:val="24"/>
          <w:szCs w:val="24"/>
        </w:rPr>
        <w:t>-202</w:t>
      </w:r>
      <w:r w:rsidR="00B5767C">
        <w:rPr>
          <w:rFonts w:ascii="Times New Roman" w:hAnsi="Times New Roman"/>
          <w:sz w:val="24"/>
          <w:szCs w:val="24"/>
        </w:rPr>
        <w:t>5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5E4219">
        <w:rPr>
          <w:rFonts w:ascii="Times New Roman" w:hAnsi="Times New Roman"/>
          <w:sz w:val="24"/>
          <w:szCs w:val="24"/>
        </w:rPr>
        <w:t>годов</w:t>
      </w:r>
      <w:r w:rsidRPr="0089069A">
        <w:rPr>
          <w:rFonts w:ascii="Times New Roman" w:hAnsi="Times New Roman"/>
          <w:sz w:val="24"/>
          <w:szCs w:val="24"/>
        </w:rPr>
        <w:t xml:space="preserve"> составляют 100%.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w w:val="95"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w w:val="95"/>
          <w:sz w:val="24"/>
          <w:szCs w:val="24"/>
        </w:rPr>
        <w:t xml:space="preserve">5. </w:t>
      </w:r>
      <w:r w:rsidRPr="0089069A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</w:p>
    <w:p w:rsidR="00FD42BF" w:rsidRPr="0089069A" w:rsidRDefault="00FD42BF" w:rsidP="00781827">
      <w:pPr>
        <w:tabs>
          <w:tab w:val="left" w:pos="851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>На территории Александровского муниципального округа спортивно-массовую и физкультурно-оздоровительную работу реализуют следующие учреждения:</w:t>
      </w:r>
    </w:p>
    <w:p w:rsidR="00FD42BF" w:rsidRPr="0089069A" w:rsidRDefault="00FD42BF" w:rsidP="0078182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>Муниципальное бюджетное учреждение «Александровская спортивная школа»;</w:t>
      </w:r>
    </w:p>
    <w:p w:rsidR="00FD42BF" w:rsidRPr="0089069A" w:rsidRDefault="00FD42BF" w:rsidP="0078182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>Муниципальное бюджетное учреждение «Юпитер» Александровского городского поселения;</w:t>
      </w:r>
    </w:p>
    <w:p w:rsidR="00FD42BF" w:rsidRPr="0089069A" w:rsidRDefault="00FD42BF" w:rsidP="00781827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 xml:space="preserve">Муниципальное казенное учреждение «Спорткомплекс «Зевс» </w:t>
      </w:r>
      <w:proofErr w:type="spellStart"/>
      <w:r w:rsidRPr="0089069A">
        <w:rPr>
          <w:rFonts w:ascii="Times New Roman" w:hAnsi="Times New Roman"/>
          <w:sz w:val="24"/>
          <w:szCs w:val="24"/>
          <w:lang w:eastAsia="ar-SA"/>
        </w:rPr>
        <w:t>Яйвинского</w:t>
      </w:r>
      <w:proofErr w:type="spellEnd"/>
      <w:r w:rsidRPr="0089069A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поселения.</w:t>
      </w:r>
    </w:p>
    <w:p w:rsidR="00137816" w:rsidRDefault="00B5767C" w:rsidP="00781827">
      <w:pPr>
        <w:pStyle w:val="21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7C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округа в наличии 65 спортивных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67C">
        <w:rPr>
          <w:rFonts w:ascii="Times New Roman" w:eastAsia="Calibri" w:hAnsi="Times New Roman" w:cs="Times New Roman"/>
          <w:sz w:val="24"/>
          <w:szCs w:val="24"/>
        </w:rPr>
        <w:t>объектов (в 2021 году — 58). Показатель увеличился на 7 единиц в связи с тем, что в 2022 году МБУ «Юпитер» передано в оперативное управление здание бывшего детского сада по адресу г. Александровск, ул. Островского, д.За, и прилегающий к нему земельный участок в безвозмездное пользование. В здании решено создать Центр физической культуры, в котором размещены, оборудованы и открыты для посетителей три спортивн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B5767C">
        <w:rPr>
          <w:rFonts w:ascii="Times New Roman" w:eastAsia="Calibri" w:hAnsi="Times New Roman" w:cs="Times New Roman"/>
          <w:sz w:val="24"/>
          <w:szCs w:val="24"/>
        </w:rPr>
        <w:t xml:space="preserve"> зала</w:t>
      </w:r>
      <w:r w:rsidR="00AC3E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5767C">
        <w:rPr>
          <w:rFonts w:ascii="Times New Roman" w:eastAsia="Calibri" w:hAnsi="Times New Roman" w:cs="Times New Roman"/>
          <w:sz w:val="24"/>
          <w:szCs w:val="24"/>
        </w:rPr>
        <w:t>В МБУ «АСШ» оборудовано 2 зала: кардиотренажеров</w:t>
      </w:r>
      <w:r w:rsidR="001378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67C">
        <w:rPr>
          <w:rFonts w:ascii="Times New Roman" w:eastAsia="Calibri" w:hAnsi="Times New Roman" w:cs="Times New Roman"/>
          <w:sz w:val="24"/>
          <w:szCs w:val="24"/>
        </w:rPr>
        <w:t>и тренажерн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5767C">
        <w:rPr>
          <w:rFonts w:ascii="Times New Roman" w:eastAsia="Calibri" w:hAnsi="Times New Roman" w:cs="Times New Roman"/>
          <w:sz w:val="24"/>
          <w:szCs w:val="24"/>
        </w:rPr>
        <w:t>й</w:t>
      </w:r>
      <w:r w:rsidR="00AC3EF3">
        <w:rPr>
          <w:rFonts w:ascii="Times New Roman" w:eastAsia="Calibri" w:hAnsi="Times New Roman" w:cs="Times New Roman"/>
          <w:sz w:val="24"/>
          <w:szCs w:val="24"/>
        </w:rPr>
        <w:t>.</w:t>
      </w:r>
      <w:r w:rsidRPr="00B5767C">
        <w:rPr>
          <w:rFonts w:ascii="Times New Roman" w:eastAsia="Calibri" w:hAnsi="Times New Roman" w:cs="Times New Roman"/>
          <w:sz w:val="24"/>
          <w:szCs w:val="24"/>
        </w:rPr>
        <w:t xml:space="preserve"> Количество спортивных залов увеличилось на 2 объекта: спортзал MK</w:t>
      </w:r>
      <w:r w:rsidR="00AC3EF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B5767C">
        <w:rPr>
          <w:rFonts w:ascii="Times New Roman" w:eastAsia="Calibri" w:hAnsi="Times New Roman" w:cs="Times New Roman"/>
          <w:sz w:val="24"/>
          <w:szCs w:val="24"/>
        </w:rPr>
        <w:t>«ДК «Энергетик» в п. Яйва; спортзал МБУ «АСШ» в г. Александровске</w:t>
      </w:r>
      <w:r w:rsidR="00AC3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816" w:rsidRPr="007938FD" w:rsidRDefault="00FD42BF" w:rsidP="007938FD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>23. Доля населения, систематически занимающегося физической культурой и спортом.</w:t>
      </w:r>
      <w:r w:rsidR="0079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69A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спортом, растет из года в год. По итогам 202</w:t>
      </w:r>
      <w:r w:rsidR="005C128E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</w:t>
      </w:r>
      <w:r w:rsidR="00137816">
        <w:rPr>
          <w:rFonts w:ascii="Times New Roman" w:hAnsi="Times New Roman" w:cs="Times New Roman"/>
          <w:sz w:val="24"/>
          <w:szCs w:val="24"/>
        </w:rPr>
        <w:t>ода</w:t>
      </w:r>
      <w:r w:rsidRPr="0089069A">
        <w:rPr>
          <w:rFonts w:ascii="Times New Roman" w:hAnsi="Times New Roman" w:cs="Times New Roman"/>
          <w:sz w:val="24"/>
          <w:szCs w:val="24"/>
        </w:rPr>
        <w:t xml:space="preserve"> показатель составил </w:t>
      </w:r>
      <w:r w:rsidR="005C128E">
        <w:rPr>
          <w:rFonts w:ascii="Times New Roman" w:hAnsi="Times New Roman" w:cs="Times New Roman"/>
          <w:sz w:val="24"/>
          <w:szCs w:val="24"/>
        </w:rPr>
        <w:t>52,9</w:t>
      </w:r>
      <w:r w:rsidRPr="0089069A">
        <w:rPr>
          <w:rFonts w:ascii="Times New Roman" w:hAnsi="Times New Roman" w:cs="Times New Roman"/>
          <w:sz w:val="24"/>
          <w:szCs w:val="24"/>
        </w:rPr>
        <w:t xml:space="preserve">%. Рост показателя происходит в основном за счет создания новых спортивных объектов - оборудование спортивных площадок. На перспективу прогнозируется увеличение доли </w:t>
      </w:r>
      <w:r w:rsidRPr="0089069A">
        <w:rPr>
          <w:rFonts w:ascii="Times New Roman" w:hAnsi="Times New Roman" w:cs="Times New Roman"/>
          <w:bCs/>
          <w:sz w:val="24"/>
          <w:szCs w:val="24"/>
        </w:rPr>
        <w:t>населения, систематически занимающегося физической культурой и спортом до 56,5%.</w:t>
      </w:r>
    </w:p>
    <w:p w:rsidR="00D141F4" w:rsidRPr="007938FD" w:rsidRDefault="00FD42BF" w:rsidP="007938FD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1F4">
        <w:rPr>
          <w:rFonts w:ascii="Times New Roman" w:hAnsi="Times New Roman" w:cs="Times New Roman"/>
          <w:b/>
          <w:bCs/>
          <w:sz w:val="24"/>
          <w:szCs w:val="24"/>
        </w:rPr>
        <w:t xml:space="preserve">23(1). Доля обучающихся, систематически занимающихся физической культурой и спортом, в общей численности обучающихся. </w:t>
      </w:r>
      <w:r w:rsidRPr="00D141F4">
        <w:rPr>
          <w:rFonts w:ascii="Times New Roman" w:hAnsi="Times New Roman" w:cs="Times New Roman"/>
          <w:bCs/>
          <w:sz w:val="24"/>
          <w:szCs w:val="24"/>
        </w:rPr>
        <w:t>Доля обучающихся, систематически занимающихся физической культурой и спортом, в общей численности обучающихся</w:t>
      </w:r>
      <w:r w:rsidRPr="00D141F4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5C128E" w:rsidRPr="00D141F4">
        <w:rPr>
          <w:rFonts w:ascii="Times New Roman" w:hAnsi="Times New Roman" w:cs="Times New Roman"/>
          <w:sz w:val="24"/>
          <w:szCs w:val="24"/>
        </w:rPr>
        <w:t>2</w:t>
      </w:r>
      <w:r w:rsidRPr="00D141F4">
        <w:rPr>
          <w:rFonts w:ascii="Times New Roman" w:hAnsi="Times New Roman" w:cs="Times New Roman"/>
          <w:sz w:val="24"/>
          <w:szCs w:val="24"/>
        </w:rPr>
        <w:t xml:space="preserve"> г</w:t>
      </w:r>
      <w:r w:rsidR="00137816" w:rsidRPr="00D141F4">
        <w:rPr>
          <w:rFonts w:ascii="Times New Roman" w:hAnsi="Times New Roman" w:cs="Times New Roman"/>
          <w:sz w:val="24"/>
          <w:szCs w:val="24"/>
        </w:rPr>
        <w:t xml:space="preserve">ода </w:t>
      </w:r>
      <w:r w:rsidRPr="00D141F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5D90" w:rsidRPr="00D141F4">
        <w:rPr>
          <w:rFonts w:ascii="Times New Roman" w:hAnsi="Times New Roman" w:cs="Times New Roman"/>
          <w:sz w:val="24"/>
          <w:szCs w:val="24"/>
        </w:rPr>
        <w:t>83,8</w:t>
      </w:r>
      <w:r w:rsidRPr="00D141F4">
        <w:rPr>
          <w:rFonts w:ascii="Times New Roman" w:hAnsi="Times New Roman" w:cs="Times New Roman"/>
          <w:sz w:val="24"/>
          <w:szCs w:val="24"/>
        </w:rPr>
        <w:t>%</w:t>
      </w:r>
      <w:r w:rsidR="00D141F4" w:rsidRPr="00D141F4">
        <w:rPr>
          <w:rFonts w:ascii="Times New Roman" w:hAnsi="Times New Roman" w:cs="Times New Roman"/>
          <w:sz w:val="24"/>
          <w:szCs w:val="24"/>
        </w:rPr>
        <w:t xml:space="preserve"> в том числе за счет продолжения работы по улучшению качества предоставляемых услуг физкультурно-спортивными организациями, доступности имеющихся спортивных сооружений, в т.ч. спортивных залов общеобразовательных школ.</w:t>
      </w:r>
    </w:p>
    <w:p w:rsidR="00D141F4" w:rsidRPr="00D141F4" w:rsidRDefault="00D141F4" w:rsidP="00781827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F4">
        <w:rPr>
          <w:rFonts w:ascii="Times New Roman" w:hAnsi="Times New Roman" w:cs="Times New Roman"/>
          <w:bCs/>
          <w:sz w:val="24"/>
          <w:szCs w:val="24"/>
        </w:rPr>
        <w:t>Показатель, достигнутый в 2022 году, планируется сохранить и в прогнозном периоде 2023-2025 годов.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w w:val="95"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w w:val="95"/>
          <w:sz w:val="24"/>
          <w:szCs w:val="24"/>
        </w:rPr>
        <w:t>6.</w:t>
      </w:r>
      <w:r w:rsidRPr="0089069A">
        <w:rPr>
          <w:rFonts w:ascii="Times New Roman" w:hAnsi="Times New Roman"/>
          <w:b/>
          <w:spacing w:val="11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sz w:val="24"/>
          <w:szCs w:val="24"/>
        </w:rPr>
        <w:t>Жилищное строительство и обеспечение граждан жильем</w:t>
      </w:r>
    </w:p>
    <w:p w:rsidR="00FD42BF" w:rsidRPr="0089069A" w:rsidRDefault="00FD42BF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F9B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 Общая площадь жилых помещений, приходящихся в среднем на одного жителя – всего, в том числе введенная в действие за один год. </w:t>
      </w:r>
    </w:p>
    <w:p w:rsidR="00137816" w:rsidRPr="0089069A" w:rsidRDefault="00FD42BF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>В муниципальном образовании продолжено строительство жилых домов индивидуальными застройщиками. Общая площадь жилых помещений, приходящихся в среднем на одного жителя</w:t>
      </w:r>
      <w:r w:rsidR="009D7D23">
        <w:rPr>
          <w:rFonts w:ascii="Times New Roman" w:hAnsi="Times New Roman" w:cs="Times New Roman"/>
          <w:sz w:val="24"/>
          <w:szCs w:val="24"/>
        </w:rPr>
        <w:t xml:space="preserve"> в 2022 </w:t>
      </w:r>
      <w:r w:rsidR="00137816">
        <w:rPr>
          <w:rFonts w:ascii="Times New Roman" w:hAnsi="Times New Roman" w:cs="Times New Roman"/>
          <w:sz w:val="24"/>
          <w:szCs w:val="24"/>
        </w:rPr>
        <w:t>году</w:t>
      </w:r>
      <w:r w:rsidRPr="0089069A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9D7D23">
        <w:rPr>
          <w:rFonts w:ascii="Times New Roman" w:hAnsi="Times New Roman" w:cs="Times New Roman"/>
          <w:sz w:val="24"/>
          <w:szCs w:val="24"/>
        </w:rPr>
        <w:t>28,1</w:t>
      </w:r>
      <w:r w:rsidRPr="0089069A">
        <w:rPr>
          <w:rFonts w:ascii="Times New Roman" w:hAnsi="Times New Roman" w:cs="Times New Roman"/>
          <w:sz w:val="24"/>
          <w:szCs w:val="24"/>
        </w:rPr>
        <w:t xml:space="preserve">  кв.м., в том числе введенная в действие за 202</w:t>
      </w:r>
      <w:r w:rsidR="00590F9B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</w:t>
      </w:r>
      <w:r w:rsidR="00137816">
        <w:rPr>
          <w:rFonts w:ascii="Times New Roman" w:hAnsi="Times New Roman" w:cs="Times New Roman"/>
          <w:sz w:val="24"/>
          <w:szCs w:val="24"/>
        </w:rPr>
        <w:t>од</w:t>
      </w:r>
      <w:r w:rsidRPr="0089069A">
        <w:rPr>
          <w:rFonts w:ascii="Times New Roman" w:hAnsi="Times New Roman" w:cs="Times New Roman"/>
          <w:sz w:val="24"/>
          <w:szCs w:val="24"/>
        </w:rPr>
        <w:t xml:space="preserve"> - 0,</w:t>
      </w:r>
      <w:r w:rsidR="00590F9B">
        <w:rPr>
          <w:rFonts w:ascii="Times New Roman" w:hAnsi="Times New Roman" w:cs="Times New Roman"/>
          <w:sz w:val="24"/>
          <w:szCs w:val="24"/>
        </w:rPr>
        <w:t>189</w:t>
      </w:r>
      <w:r w:rsidRPr="00890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69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069A">
        <w:rPr>
          <w:rFonts w:ascii="Times New Roman" w:hAnsi="Times New Roman" w:cs="Times New Roman"/>
          <w:sz w:val="24"/>
          <w:szCs w:val="24"/>
        </w:rPr>
        <w:t>.</w:t>
      </w:r>
    </w:p>
    <w:p w:rsidR="00FD42BF" w:rsidRPr="00D471B7" w:rsidRDefault="00FD42BF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ab/>
      </w:r>
      <w:r w:rsidRPr="00D471B7">
        <w:rPr>
          <w:rFonts w:ascii="Times New Roman" w:hAnsi="Times New Roman" w:cs="Times New Roman"/>
          <w:b/>
          <w:iCs/>
          <w:sz w:val="24"/>
          <w:szCs w:val="24"/>
        </w:rPr>
        <w:t>25.</w:t>
      </w:r>
      <w:r w:rsidRPr="00D47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Площадь земельных участков, предоставленных для строительства в расчете на 10 тыс. человек населения, - всего,</w:t>
      </w:r>
      <w:r w:rsidRPr="00D471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7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том числе: для жилищного строительства, индивидуального строительства и комплексного освоения в целях жилищного строительства. </w:t>
      </w:r>
    </w:p>
    <w:p w:rsidR="00137816" w:rsidRDefault="00D471B7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2022 г. предоставлено 17 земельных участков общей площадью 3,0671 га, из них: 1 участок для многоквартирного жилищного строительства (0,9191 га)</w:t>
      </w:r>
      <w:r w:rsidR="00D22113">
        <w:rPr>
          <w:rFonts w:ascii="Times New Roman" w:hAnsi="Times New Roman" w:cs="Times New Roman"/>
          <w:bCs/>
          <w:iCs/>
          <w:sz w:val="24"/>
          <w:szCs w:val="24"/>
        </w:rPr>
        <w:t>, 16 участков под индивидуальное жилищное строительство (2,148 га).</w:t>
      </w:r>
      <w:bookmarkStart w:id="7" w:name="_GoBack"/>
      <w:bookmarkEnd w:id="7"/>
    </w:p>
    <w:p w:rsidR="00FD42BF" w:rsidRPr="0089069A" w:rsidRDefault="00FD42BF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– в течение 3 лет; иных объектов капитального строительства – в течение 5 лет. </w:t>
      </w:r>
    </w:p>
    <w:p w:rsidR="00137816" w:rsidRPr="0089069A" w:rsidRDefault="00FD42BF" w:rsidP="00781827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 xml:space="preserve">          Данный показатель на протяжении ряда лет имеет нулевое значение.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sz w:val="24"/>
          <w:szCs w:val="24"/>
        </w:rPr>
        <w:t>7.</w:t>
      </w:r>
      <w:r w:rsidRPr="0089069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</w:p>
    <w:p w:rsidR="00FD42BF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r w:rsidRPr="008906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многоквартирных домов, в которых собственники помещений должны выбрать способ управления данными домами. </w:t>
      </w:r>
    </w:p>
    <w:p w:rsidR="00137816" w:rsidRPr="00781827" w:rsidRDefault="003A702A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2022 г</w:t>
      </w:r>
      <w:r w:rsidR="0085144D">
        <w:rPr>
          <w:rFonts w:ascii="Times New Roman" w:hAnsi="Times New Roman"/>
          <w:sz w:val="24"/>
          <w:szCs w:val="24"/>
        </w:rPr>
        <w:t>оду</w:t>
      </w:r>
      <w:r w:rsidRPr="0089069A">
        <w:rPr>
          <w:rFonts w:ascii="Times New Roman" w:hAnsi="Times New Roman"/>
          <w:sz w:val="24"/>
          <w:szCs w:val="24"/>
        </w:rPr>
        <w:t xml:space="preserve"> </w:t>
      </w:r>
      <w:r w:rsidR="00A6646F">
        <w:rPr>
          <w:rFonts w:ascii="Times New Roman" w:hAnsi="Times New Roman"/>
          <w:sz w:val="24"/>
          <w:szCs w:val="24"/>
        </w:rPr>
        <w:t>достиг</w:t>
      </w:r>
      <w:r w:rsidRPr="0089069A">
        <w:rPr>
          <w:rFonts w:ascii="Times New Roman" w:hAnsi="Times New Roman"/>
          <w:sz w:val="24"/>
          <w:szCs w:val="24"/>
        </w:rPr>
        <w:t xml:space="preserve"> 100%.</w:t>
      </w:r>
    </w:p>
    <w:p w:rsidR="00FD42B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p w:rsidR="00FD42B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69A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Министерства жилищно-коммунального хозяйства и благоустройства Пермского края данный показатель  в 202</w:t>
      </w:r>
      <w:r w:rsidR="00A6646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90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составил 6</w:t>
      </w:r>
      <w:r w:rsidR="00A6646F">
        <w:rPr>
          <w:rFonts w:ascii="Times New Roman" w:hAnsi="Times New Roman" w:cs="Times New Roman"/>
          <w:sz w:val="24"/>
          <w:szCs w:val="24"/>
          <w:shd w:val="clear" w:color="auto" w:fill="FFFFFF"/>
        </w:rPr>
        <w:t>4,3</w:t>
      </w:r>
      <w:r w:rsidRPr="008906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</w:p>
    <w:p w:rsidR="009563DF" w:rsidRPr="009563DF" w:rsidRDefault="009563D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63DF">
        <w:rPr>
          <w:rFonts w:ascii="Times New Roman" w:hAnsi="Times New Roman"/>
          <w:iCs/>
          <w:sz w:val="24"/>
          <w:szCs w:val="24"/>
        </w:rPr>
        <w:t xml:space="preserve">На плановый период 2023 – 2025 годов изменение показателя не прогнозируется. </w:t>
      </w:r>
    </w:p>
    <w:p w:rsidR="009563DF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29. Доля многоквартирных домов, расположенных на земельных участках, в отношении которых осуществлен государственный кадастровый учет. </w:t>
      </w:r>
      <w:r w:rsidRPr="0089069A">
        <w:rPr>
          <w:rFonts w:ascii="Times New Roman" w:hAnsi="Times New Roman" w:cs="Times New Roman"/>
          <w:sz w:val="24"/>
          <w:szCs w:val="24"/>
        </w:rPr>
        <w:t>Данный показатель в 202</w:t>
      </w:r>
      <w:r w:rsidR="000E2CDD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г. составил 74%. До 202</w:t>
      </w:r>
      <w:r w:rsidR="009563DF">
        <w:rPr>
          <w:rFonts w:ascii="Times New Roman" w:hAnsi="Times New Roman" w:cs="Times New Roman"/>
          <w:sz w:val="24"/>
          <w:szCs w:val="24"/>
        </w:rPr>
        <w:t>5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года значение показателя прогнозируется на уровне 202</w:t>
      </w:r>
      <w:r w:rsidR="009563DF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42BF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 </w:t>
      </w:r>
      <w:r w:rsidRPr="0089069A">
        <w:rPr>
          <w:rFonts w:ascii="Times New Roman" w:hAnsi="Times New Roman" w:cs="Times New Roman"/>
          <w:bCs/>
          <w:sz w:val="24"/>
          <w:szCs w:val="24"/>
        </w:rPr>
        <w:t>Данный показатель в 202</w:t>
      </w:r>
      <w:r w:rsidR="000E2CDD">
        <w:rPr>
          <w:rFonts w:ascii="Times New Roman" w:hAnsi="Times New Roman" w:cs="Times New Roman"/>
          <w:bCs/>
          <w:sz w:val="24"/>
          <w:szCs w:val="24"/>
        </w:rPr>
        <w:t>2</w:t>
      </w:r>
      <w:r w:rsidRPr="0089069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0E2CDD">
        <w:rPr>
          <w:rFonts w:ascii="Times New Roman" w:hAnsi="Times New Roman" w:cs="Times New Roman"/>
          <w:bCs/>
          <w:sz w:val="24"/>
          <w:szCs w:val="24"/>
        </w:rPr>
        <w:t>увеличился</w:t>
      </w:r>
      <w:r w:rsidRPr="0089069A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0E2CDD">
        <w:rPr>
          <w:rFonts w:ascii="Times New Roman" w:hAnsi="Times New Roman" w:cs="Times New Roman"/>
          <w:bCs/>
          <w:sz w:val="24"/>
          <w:szCs w:val="24"/>
        </w:rPr>
        <w:t>40,7</w:t>
      </w:r>
      <w:r w:rsidRPr="0089069A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0E2CDD">
        <w:rPr>
          <w:rFonts w:ascii="Times New Roman" w:hAnsi="Times New Roman" w:cs="Times New Roman"/>
          <w:bCs/>
          <w:sz w:val="24"/>
          <w:szCs w:val="24"/>
        </w:rPr>
        <w:t xml:space="preserve">Увеличение показателя </w:t>
      </w:r>
      <w:r w:rsidR="00AB1931">
        <w:rPr>
          <w:rFonts w:ascii="Times New Roman" w:hAnsi="Times New Roman" w:cs="Times New Roman"/>
          <w:bCs/>
          <w:sz w:val="24"/>
          <w:szCs w:val="24"/>
        </w:rPr>
        <w:t xml:space="preserve">произошло </w:t>
      </w:r>
      <w:r w:rsidR="000E2CDD">
        <w:rPr>
          <w:rFonts w:ascii="Times New Roman" w:hAnsi="Times New Roman" w:cs="Times New Roman"/>
          <w:bCs/>
          <w:sz w:val="24"/>
          <w:szCs w:val="24"/>
        </w:rPr>
        <w:t xml:space="preserve">за счет включения </w:t>
      </w:r>
      <w:r w:rsidR="00AB1931">
        <w:rPr>
          <w:rFonts w:ascii="Times New Roman" w:hAnsi="Times New Roman" w:cs="Times New Roman"/>
          <w:bCs/>
          <w:sz w:val="24"/>
          <w:szCs w:val="24"/>
        </w:rPr>
        <w:t xml:space="preserve">категорий «дети-сироты» и «молодые семьи». На начало 2022 г. общая численность детей-сирот, состоящих на учете в качестве нуждающихся в жилых помещениях, составляла 73 человека, общая численность молодых семей – 6.  </w:t>
      </w:r>
      <w:r w:rsidRPr="0089069A">
        <w:rPr>
          <w:rFonts w:ascii="Times New Roman" w:hAnsi="Times New Roman" w:cs="Times New Roman"/>
          <w:bCs/>
          <w:sz w:val="24"/>
          <w:szCs w:val="24"/>
        </w:rPr>
        <w:t xml:space="preserve">В последующей перспективе планируется увеличение показателя до </w:t>
      </w:r>
      <w:r w:rsidR="003D5C13">
        <w:rPr>
          <w:rFonts w:ascii="Times New Roman" w:hAnsi="Times New Roman" w:cs="Times New Roman"/>
          <w:bCs/>
          <w:sz w:val="24"/>
          <w:szCs w:val="24"/>
        </w:rPr>
        <w:t>42,8</w:t>
      </w:r>
      <w:r w:rsidRPr="0089069A">
        <w:rPr>
          <w:rFonts w:ascii="Times New Roman" w:hAnsi="Times New Roman" w:cs="Times New Roman"/>
          <w:bCs/>
          <w:sz w:val="24"/>
          <w:szCs w:val="24"/>
        </w:rPr>
        <w:t>%</w:t>
      </w:r>
      <w:r w:rsidR="00A4513F">
        <w:rPr>
          <w:rFonts w:ascii="Times New Roman" w:hAnsi="Times New Roman" w:cs="Times New Roman"/>
          <w:bCs/>
          <w:sz w:val="24"/>
          <w:szCs w:val="24"/>
        </w:rPr>
        <w:t>.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sz w:val="24"/>
          <w:szCs w:val="24"/>
        </w:rPr>
        <w:t>8.</w:t>
      </w:r>
      <w:r w:rsidRPr="0089069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iCs/>
          <w:sz w:val="24"/>
          <w:szCs w:val="24"/>
        </w:rPr>
        <w:t>Организация муниципального управления</w:t>
      </w:r>
    </w:p>
    <w:p w:rsidR="00FD42B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 </w:t>
      </w:r>
    </w:p>
    <w:p w:rsidR="00A4513F" w:rsidRPr="00781827" w:rsidRDefault="00D54C19" w:rsidP="007818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4C19">
        <w:rPr>
          <w:rFonts w:ascii="Times New Roman" w:hAnsi="Times New Roman"/>
          <w:sz w:val="24"/>
          <w:szCs w:val="24"/>
        </w:rPr>
        <w:t>Снижение доли налоговых и неналоговых доходов в общей сумме собственных доходов в плановых назначениях 2023 года относительно фактических доходов 2022 года связано с тем, что поступления транспортного налога с 2023 года отнесено на уровень субъекта в связи с изменениями законодательства (факт 2022 года – 25 235,9 тыс. рублей), кроме того в первоначальных плановых назначениях 2023 года не учтены доходы от реализации имущества (факт 2023 года – 3135,3 тыс. рублей). Рост доли налоговых и неналоговых доходов в общей сумме собственных доходов в плановых назначениях 2024 года относительно 2023 года обусловлено тем, что в безвозмездных поступлениях 2024 года не предусмотрены иные межбюджетные трансферты на переселение граждан из аварийного жилфонда (2023 год – 89 989,9 тыс. рублей). Снижение 2025 года от 2024 года связано с ростом плановых назначений по безвозмездным поступлениям, в основном дотации на выравнивание бюджетной обеспеченности</w:t>
      </w:r>
      <w:r w:rsidR="00781827">
        <w:rPr>
          <w:rFonts w:ascii="Times New Roman" w:hAnsi="Times New Roman"/>
          <w:sz w:val="24"/>
          <w:szCs w:val="24"/>
        </w:rPr>
        <w:t>.</w:t>
      </w:r>
    </w:p>
    <w:p w:rsidR="00A4513F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 </w:t>
      </w:r>
      <w:r w:rsidRPr="0089069A">
        <w:rPr>
          <w:rFonts w:ascii="Times New Roman" w:hAnsi="Times New Roman" w:cs="Times New Roman"/>
          <w:iCs/>
          <w:sz w:val="24"/>
          <w:szCs w:val="24"/>
        </w:rPr>
        <w:t>В муниципальном образовании отсутств</w:t>
      </w:r>
      <w:r w:rsidR="00A4513F">
        <w:rPr>
          <w:rFonts w:ascii="Times New Roman" w:hAnsi="Times New Roman" w:cs="Times New Roman"/>
          <w:iCs/>
          <w:sz w:val="24"/>
          <w:szCs w:val="24"/>
        </w:rPr>
        <w:t>уют</w:t>
      </w:r>
      <w:r w:rsidRPr="0089069A">
        <w:rPr>
          <w:rFonts w:ascii="Times New Roman" w:hAnsi="Times New Roman" w:cs="Times New Roman"/>
          <w:iCs/>
          <w:sz w:val="24"/>
          <w:szCs w:val="24"/>
        </w:rPr>
        <w:t xml:space="preserve"> организации муниципальной формы собственности</w:t>
      </w:r>
      <w:r w:rsidRPr="0089069A">
        <w:rPr>
          <w:rFonts w:ascii="Times New Roman" w:hAnsi="Times New Roman" w:cs="Times New Roman"/>
          <w:sz w:val="24"/>
          <w:szCs w:val="24"/>
        </w:rPr>
        <w:t>, находящиеся в стадии банкротства, поэтому указанный выше показатель имеет нулевое значение.</w:t>
      </w:r>
    </w:p>
    <w:p w:rsidR="00A4513F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iCs/>
          <w:sz w:val="24"/>
          <w:szCs w:val="24"/>
        </w:rPr>
        <w:t xml:space="preserve">33. </w:t>
      </w:r>
      <w:r w:rsidRPr="00890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района). </w:t>
      </w:r>
    </w:p>
    <w:p w:rsidR="00A4513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69A">
        <w:rPr>
          <w:rFonts w:ascii="Times New Roman" w:hAnsi="Times New Roman" w:cs="Times New Roman"/>
          <w:iCs/>
          <w:sz w:val="24"/>
          <w:szCs w:val="24"/>
        </w:rPr>
        <w:t>За счет средств бюджета муниципального округа не завершенное строительство отсутствует. Значение этого показателя равно нулю, это характерно как для отчетного, так и для прогнозного периодов.</w:t>
      </w:r>
    </w:p>
    <w:p w:rsidR="00A4513F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</w:t>
      </w:r>
    </w:p>
    <w:p w:rsidR="00A4513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9A">
        <w:rPr>
          <w:rFonts w:ascii="Times New Roman" w:hAnsi="Times New Roman" w:cs="Times New Roman"/>
          <w:iCs/>
          <w:sz w:val="24"/>
          <w:szCs w:val="24"/>
        </w:rPr>
        <w:t>Просроченная кредиторская задолженность по оплате труда работников (с начислениями) муниципальных учреждений отсутствует, что подтверждается официальными данн</w:t>
      </w:r>
      <w:r w:rsidRPr="0089069A">
        <w:rPr>
          <w:rFonts w:ascii="Times New Roman" w:hAnsi="Times New Roman" w:cs="Times New Roman"/>
          <w:sz w:val="24"/>
          <w:szCs w:val="24"/>
        </w:rPr>
        <w:t>ыми органов статистики. Этот показатель стабилен на протяжении ряда лет благодаря проведению муниципальной властью соответствующей работы.</w:t>
      </w:r>
    </w:p>
    <w:p w:rsidR="00A4513F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</w:t>
      </w:r>
    </w:p>
    <w:p w:rsidR="00A4513F" w:rsidRPr="0089069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sz w:val="24"/>
          <w:szCs w:val="24"/>
        </w:rPr>
        <w:t>В 202</w:t>
      </w:r>
      <w:r w:rsidR="00D92412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</w:t>
      </w:r>
      <w:r w:rsidR="00A4513F">
        <w:rPr>
          <w:rFonts w:ascii="Times New Roman" w:hAnsi="Times New Roman" w:cs="Times New Roman"/>
          <w:sz w:val="24"/>
          <w:szCs w:val="24"/>
        </w:rPr>
        <w:t xml:space="preserve">оду </w:t>
      </w:r>
      <w:r w:rsidRPr="0089069A">
        <w:rPr>
          <w:rFonts w:ascii="Times New Roman" w:hAnsi="Times New Roman" w:cs="Times New Roman"/>
          <w:sz w:val="24"/>
          <w:szCs w:val="24"/>
        </w:rPr>
        <w:t xml:space="preserve"> по отношению к уровню 202</w:t>
      </w:r>
      <w:r w:rsidR="00D92412">
        <w:rPr>
          <w:rFonts w:ascii="Times New Roman" w:hAnsi="Times New Roman" w:cs="Times New Roman"/>
          <w:sz w:val="24"/>
          <w:szCs w:val="24"/>
        </w:rPr>
        <w:t>1</w:t>
      </w:r>
      <w:r w:rsidRPr="0089069A">
        <w:rPr>
          <w:rFonts w:ascii="Times New Roman" w:hAnsi="Times New Roman" w:cs="Times New Roman"/>
          <w:sz w:val="24"/>
          <w:szCs w:val="24"/>
        </w:rPr>
        <w:t xml:space="preserve"> </w:t>
      </w:r>
      <w:r w:rsidR="00A4513F">
        <w:rPr>
          <w:rFonts w:ascii="Times New Roman" w:hAnsi="Times New Roman" w:cs="Times New Roman"/>
          <w:sz w:val="24"/>
          <w:szCs w:val="24"/>
        </w:rPr>
        <w:t>года</w:t>
      </w:r>
      <w:r w:rsidRPr="0089069A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на содержание работников органов местного самоуправления (далее – ОМСУ) выросли на </w:t>
      </w:r>
      <w:r w:rsidR="009F2285">
        <w:rPr>
          <w:rFonts w:ascii="Times New Roman" w:hAnsi="Times New Roman" w:cs="Times New Roman"/>
          <w:bCs/>
          <w:iCs/>
          <w:sz w:val="24"/>
          <w:szCs w:val="24"/>
        </w:rPr>
        <w:t>7,8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% и составили </w:t>
      </w:r>
      <w:r w:rsidR="009F2285">
        <w:rPr>
          <w:rFonts w:ascii="Times New Roman" w:hAnsi="Times New Roman" w:cs="Times New Roman"/>
          <w:bCs/>
          <w:iCs/>
          <w:sz w:val="24"/>
          <w:szCs w:val="24"/>
        </w:rPr>
        <w:t>3 011,2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руб</w:t>
      </w:r>
      <w:r w:rsidR="00A4513F">
        <w:rPr>
          <w:rFonts w:ascii="Times New Roman" w:hAnsi="Times New Roman" w:cs="Times New Roman"/>
          <w:bCs/>
          <w:iCs/>
          <w:sz w:val="24"/>
          <w:szCs w:val="24"/>
        </w:rPr>
        <w:t xml:space="preserve">лей 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(в 202</w:t>
      </w:r>
      <w:r w:rsidR="009F228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r w:rsidR="00A4513F">
        <w:rPr>
          <w:rFonts w:ascii="Times New Roman" w:hAnsi="Times New Roman" w:cs="Times New Roman"/>
          <w:bCs/>
          <w:iCs/>
          <w:sz w:val="24"/>
          <w:szCs w:val="24"/>
        </w:rPr>
        <w:t>оду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9F2285">
        <w:rPr>
          <w:rFonts w:ascii="Times New Roman" w:hAnsi="Times New Roman" w:cs="Times New Roman"/>
          <w:bCs/>
          <w:iCs/>
          <w:sz w:val="24"/>
          <w:szCs w:val="24"/>
        </w:rPr>
        <w:t>2 793,02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руб</w:t>
      </w:r>
      <w:r w:rsidR="00A4513F">
        <w:rPr>
          <w:rFonts w:ascii="Times New Roman" w:hAnsi="Times New Roman" w:cs="Times New Roman"/>
          <w:bCs/>
          <w:iCs/>
          <w:sz w:val="24"/>
          <w:szCs w:val="24"/>
        </w:rPr>
        <w:t>ля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>). В 202</w:t>
      </w:r>
      <w:r w:rsidR="00A4513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A4513F">
        <w:rPr>
          <w:rFonts w:ascii="Times New Roman" w:hAnsi="Times New Roman" w:cs="Times New Roman"/>
          <w:bCs/>
          <w:iCs/>
          <w:sz w:val="24"/>
          <w:szCs w:val="24"/>
        </w:rPr>
        <w:t>5 годах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 xml:space="preserve"> ожидается </w:t>
      </w:r>
      <w:r w:rsidR="00DB0F2C">
        <w:rPr>
          <w:rFonts w:ascii="Times New Roman" w:hAnsi="Times New Roman" w:cs="Times New Roman"/>
          <w:bCs/>
          <w:iCs/>
          <w:sz w:val="24"/>
          <w:szCs w:val="24"/>
        </w:rPr>
        <w:t xml:space="preserve">незначительное </w:t>
      </w:r>
      <w:r w:rsidRPr="0089069A">
        <w:rPr>
          <w:rFonts w:ascii="Times New Roman" w:hAnsi="Times New Roman" w:cs="Times New Roman"/>
          <w:bCs/>
          <w:iCs/>
          <w:sz w:val="24"/>
          <w:szCs w:val="24"/>
        </w:rPr>
        <w:t>повышение величины данного показателя</w:t>
      </w:r>
      <w:r w:rsidR="00DB0F2C">
        <w:rPr>
          <w:rFonts w:ascii="Times New Roman" w:hAnsi="Times New Roman" w:cs="Times New Roman"/>
          <w:bCs/>
          <w:iCs/>
          <w:sz w:val="24"/>
          <w:szCs w:val="24"/>
        </w:rPr>
        <w:t xml:space="preserve">, к 2025 году на </w:t>
      </w:r>
      <w:r w:rsidR="00C103DA">
        <w:rPr>
          <w:rFonts w:ascii="Times New Roman" w:hAnsi="Times New Roman" w:cs="Times New Roman"/>
          <w:bCs/>
          <w:iCs/>
          <w:sz w:val="24"/>
          <w:szCs w:val="24"/>
        </w:rPr>
        <w:t>102,3% от уровня 2022 года.</w:t>
      </w:r>
    </w:p>
    <w:p w:rsidR="00C103DA" w:rsidRDefault="00FD42BF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 </w:t>
      </w:r>
    </w:p>
    <w:p w:rsidR="00C103DA" w:rsidRDefault="00CB7757" w:rsidP="00781827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Генеральный план</w:t>
      </w:r>
      <w:r w:rsidR="00FD42BF" w:rsidRPr="0089069A">
        <w:rPr>
          <w:rFonts w:ascii="Times New Roman" w:hAnsi="Times New Roman" w:cs="Times New Roman"/>
          <w:iCs/>
          <w:sz w:val="24"/>
          <w:szCs w:val="24"/>
        </w:rPr>
        <w:t xml:space="preserve"> Александровского муниципального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округа </w:t>
      </w:r>
      <w:r w:rsidR="00FD42BF" w:rsidRPr="0089069A">
        <w:rPr>
          <w:rFonts w:ascii="Times New Roman" w:hAnsi="Times New Roman" w:cs="Times New Roman"/>
          <w:iCs/>
          <w:sz w:val="24"/>
          <w:szCs w:val="24"/>
        </w:rPr>
        <w:t>утвержден решением</w:t>
      </w:r>
      <w:r w:rsidR="00FD42BF" w:rsidRPr="0089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  <w:r w:rsidR="00FD42BF" w:rsidRPr="0089069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25.08.2022</w:t>
      </w:r>
      <w:r w:rsidR="00FD42BF" w:rsidRPr="0089069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314</w:t>
      </w:r>
      <w:r w:rsidR="00FD42BF" w:rsidRPr="00890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3DA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sz w:val="24"/>
          <w:szCs w:val="24"/>
        </w:rPr>
        <w:t xml:space="preserve">37. Удовлетворенность населения деятельностью органов местного самоуправления городского округа (муниципального района). </w:t>
      </w:r>
      <w:r w:rsidRPr="0089069A">
        <w:rPr>
          <w:rFonts w:ascii="Times New Roman" w:hAnsi="Times New Roman" w:cs="Times New Roman"/>
          <w:sz w:val="24"/>
          <w:szCs w:val="24"/>
        </w:rPr>
        <w:t>В 202</w:t>
      </w:r>
      <w:r w:rsidR="00CB7757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году оценка населения деятельностью органов местного </w:t>
      </w:r>
      <w:r w:rsidR="00695656" w:rsidRPr="0089069A">
        <w:rPr>
          <w:rFonts w:ascii="Times New Roman" w:hAnsi="Times New Roman" w:cs="Times New Roman"/>
          <w:sz w:val="24"/>
          <w:szCs w:val="24"/>
        </w:rPr>
        <w:t>самоуправления путем</w:t>
      </w:r>
      <w:r w:rsidRPr="0089069A">
        <w:rPr>
          <w:rFonts w:ascii="Times New Roman" w:hAnsi="Times New Roman" w:cs="Times New Roman"/>
          <w:sz w:val="24"/>
          <w:szCs w:val="24"/>
        </w:rPr>
        <w:t xml:space="preserve"> социологического исследования не проводилась. </w:t>
      </w:r>
    </w:p>
    <w:p w:rsidR="00C103D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sz w:val="24"/>
          <w:szCs w:val="24"/>
        </w:rPr>
        <w:t xml:space="preserve">38. Среднегодовая численность постоянного населения.  </w:t>
      </w:r>
    </w:p>
    <w:p w:rsidR="00C103DA" w:rsidRDefault="00C103DA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показатель значительно снизился по сравнению с  2021 годом, в связи опубликованием итогов </w:t>
      </w:r>
      <w:r w:rsidRPr="0012110A">
        <w:rPr>
          <w:rFonts w:ascii="Times New Roman" w:hAnsi="Times New Roman"/>
          <w:sz w:val="24"/>
          <w:szCs w:val="24"/>
        </w:rPr>
        <w:t xml:space="preserve">Всероссийской </w:t>
      </w:r>
      <w:r>
        <w:rPr>
          <w:rFonts w:ascii="Times New Roman" w:hAnsi="Times New Roman"/>
          <w:sz w:val="24"/>
          <w:szCs w:val="24"/>
        </w:rPr>
        <w:t xml:space="preserve">переписи </w:t>
      </w:r>
      <w:r w:rsidRPr="0012110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2020 года. По данным ВНП – 2020 года численность населения Александровского муниципального округа составила на 01 октября 2021 года -23 346 человек. По данным официальной статистики (до опубликования ВНП-2020) среднегодовая численность населения округа</w:t>
      </w:r>
      <w:r w:rsidR="00CC6E27">
        <w:rPr>
          <w:rFonts w:ascii="Times New Roman" w:hAnsi="Times New Roman"/>
          <w:sz w:val="24"/>
          <w:szCs w:val="24"/>
        </w:rPr>
        <w:t xml:space="preserve"> за 2021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CC6E27">
        <w:rPr>
          <w:rFonts w:ascii="Times New Roman" w:hAnsi="Times New Roman"/>
          <w:sz w:val="24"/>
          <w:szCs w:val="24"/>
        </w:rPr>
        <w:t>составляла 26 191 человек.</w:t>
      </w:r>
    </w:p>
    <w:p w:rsidR="00CC6E27" w:rsidRPr="00781827" w:rsidRDefault="00CC6E27" w:rsidP="00793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среднегодовая численность населения за 2022 год (с учетом итогов ВНП-2020 г.) составила 23 112 человек.</w:t>
      </w:r>
      <w:r w:rsidR="00793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Поскольку на</w:t>
      </w:r>
      <w:r w:rsidR="00FD42BF" w:rsidRPr="0089069A">
        <w:rPr>
          <w:rFonts w:ascii="Times New Roman" w:hAnsi="Times New Roman"/>
          <w:sz w:val="24"/>
          <w:szCs w:val="24"/>
        </w:rPr>
        <w:t xml:space="preserve"> территории Александровского муниципального округа из года в год продолжается снижение среднегодовой численности постоянного населения</w:t>
      </w:r>
      <w:r>
        <w:rPr>
          <w:rFonts w:ascii="Times New Roman" w:hAnsi="Times New Roman"/>
          <w:sz w:val="24"/>
          <w:szCs w:val="24"/>
        </w:rPr>
        <w:t xml:space="preserve">, в плановом периоде спрогнозировано ежегодное </w:t>
      </w:r>
      <w:r w:rsidR="00781827">
        <w:rPr>
          <w:rFonts w:ascii="Times New Roman" w:hAnsi="Times New Roman"/>
          <w:sz w:val="24"/>
          <w:szCs w:val="24"/>
        </w:rPr>
        <w:t>снижение численности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="00FD42BF" w:rsidRPr="0089069A">
        <w:rPr>
          <w:rFonts w:ascii="Times New Roman" w:hAnsi="Times New Roman"/>
          <w:sz w:val="24"/>
          <w:szCs w:val="24"/>
        </w:rPr>
        <w:t xml:space="preserve">. </w:t>
      </w:r>
    </w:p>
    <w:p w:rsidR="00FD42BF" w:rsidRPr="0089069A" w:rsidRDefault="00FD42BF" w:rsidP="00781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069A">
        <w:rPr>
          <w:rFonts w:ascii="Times New Roman" w:hAnsi="Times New Roman"/>
          <w:b/>
          <w:sz w:val="24"/>
          <w:szCs w:val="24"/>
        </w:rPr>
        <w:t>Раздел</w:t>
      </w:r>
      <w:r w:rsidRPr="0089069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sz w:val="24"/>
          <w:szCs w:val="24"/>
        </w:rPr>
        <w:t>8.</w:t>
      </w:r>
      <w:r w:rsidRPr="0089069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89069A">
        <w:rPr>
          <w:rFonts w:ascii="Times New Roman" w:hAnsi="Times New Roman"/>
          <w:b/>
          <w:bCs/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CC6E27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39. Удельная величина потребления энергетических ресурсов в многоквартирных домах. </w:t>
      </w:r>
      <w:r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удельной величины потребления энергетических ресурсов в многоквартирных домах обусловлены продолжающимся проведением мероприятий по установке индивидуальных приборов учета энергоресурсов. Изменения отразились на потреблении электроэнергии – за счет уточнения данных по потребителям, учитываемых при расчете показателя. Так же </w:t>
      </w:r>
      <w:r w:rsidR="005C1A21"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потребления</w:t>
      </w:r>
      <w:r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электрической энергии </w:t>
      </w:r>
      <w:r w:rsidR="00F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связано с </w:t>
      </w:r>
      <w:r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</w:t>
      </w:r>
      <w:r w:rsidR="00F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снижение</w:t>
      </w:r>
      <w:r w:rsidR="00FF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9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численности населения округа.</w:t>
      </w:r>
    </w:p>
    <w:p w:rsidR="00A33570" w:rsidRPr="007938FD" w:rsidRDefault="00FD42BF" w:rsidP="007938FD">
      <w:pPr>
        <w:pStyle w:val="2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3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 Удельная величина потребления энергетических ресурсов муниципальными бюджетными учреждениями.</w:t>
      </w:r>
      <w:r w:rsidRPr="00890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069A">
        <w:rPr>
          <w:rFonts w:ascii="Times New Roman" w:hAnsi="Times New Roman" w:cs="Times New Roman"/>
          <w:sz w:val="24"/>
          <w:szCs w:val="24"/>
        </w:rPr>
        <w:t xml:space="preserve">Рост потребления </w:t>
      </w:r>
      <w:r w:rsidR="00A33570">
        <w:rPr>
          <w:rFonts w:ascii="Times New Roman" w:hAnsi="Times New Roman" w:cs="Times New Roman"/>
          <w:sz w:val="24"/>
          <w:szCs w:val="24"/>
        </w:rPr>
        <w:t xml:space="preserve">электрической энергии </w:t>
      </w:r>
      <w:r w:rsidRPr="0089069A">
        <w:rPr>
          <w:rFonts w:ascii="Times New Roman" w:hAnsi="Times New Roman" w:cs="Times New Roman"/>
          <w:sz w:val="24"/>
          <w:szCs w:val="24"/>
        </w:rPr>
        <w:t>в 202</w:t>
      </w:r>
      <w:r w:rsidR="00A33570">
        <w:rPr>
          <w:rFonts w:ascii="Times New Roman" w:hAnsi="Times New Roman" w:cs="Times New Roman"/>
          <w:sz w:val="24"/>
          <w:szCs w:val="24"/>
        </w:rPr>
        <w:t>2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году по сравнению с прошлым годом связан с</w:t>
      </w:r>
      <w:r w:rsidR="00A33570">
        <w:rPr>
          <w:rFonts w:ascii="Times New Roman" w:hAnsi="Times New Roman" w:cs="Times New Roman"/>
          <w:sz w:val="24"/>
          <w:szCs w:val="24"/>
        </w:rPr>
        <w:t xml:space="preserve"> полным</w:t>
      </w:r>
      <w:r w:rsidRPr="0089069A">
        <w:rPr>
          <w:rFonts w:ascii="Times New Roman" w:hAnsi="Times New Roman" w:cs="Times New Roman"/>
          <w:sz w:val="24"/>
          <w:szCs w:val="24"/>
        </w:rPr>
        <w:t xml:space="preserve"> снятием ограничений, связанных с распространением коронавирусной инфекции (</w:t>
      </w:r>
      <w:r w:rsidRPr="0089069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9069A">
        <w:rPr>
          <w:rFonts w:ascii="Times New Roman" w:hAnsi="Times New Roman" w:cs="Times New Roman"/>
          <w:sz w:val="24"/>
          <w:szCs w:val="24"/>
        </w:rPr>
        <w:t>-19),  для учреждений культуры и спорта по сравнению с 202</w:t>
      </w:r>
      <w:r w:rsidR="00A33570">
        <w:rPr>
          <w:rFonts w:ascii="Times New Roman" w:hAnsi="Times New Roman" w:cs="Times New Roman"/>
          <w:sz w:val="24"/>
          <w:szCs w:val="24"/>
        </w:rPr>
        <w:t>1</w:t>
      </w:r>
      <w:r w:rsidRPr="0089069A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FD42BF" w:rsidRPr="0089069A" w:rsidRDefault="00FD42BF" w:rsidP="00781827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069A">
        <w:rPr>
          <w:rFonts w:ascii="Times New Roman" w:hAnsi="Times New Roman"/>
          <w:b/>
          <w:bCs/>
          <w:color w:val="1D1D1D"/>
          <w:sz w:val="24"/>
          <w:szCs w:val="24"/>
        </w:rPr>
        <w:t xml:space="preserve">41. Результаты независимой оценки </w:t>
      </w:r>
      <w:r w:rsidRPr="0089069A">
        <w:rPr>
          <w:rFonts w:ascii="Times New Roman" w:hAnsi="Times New Roman"/>
          <w:b/>
          <w:bCs/>
          <w:sz w:val="24"/>
          <w:szCs w:val="24"/>
        </w:rPr>
        <w:t xml:space="preserve">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 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>В сфере культуры: показатель в 202</w:t>
      </w:r>
      <w:r w:rsidR="00E42090">
        <w:rPr>
          <w:rFonts w:ascii="Times New Roman" w:hAnsi="Times New Roman"/>
          <w:sz w:val="24"/>
          <w:szCs w:val="24"/>
          <w:lang w:eastAsia="ar-SA"/>
        </w:rPr>
        <w:t>2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году составил </w:t>
      </w:r>
      <w:r w:rsidR="00E42090">
        <w:rPr>
          <w:rFonts w:ascii="Times New Roman" w:hAnsi="Times New Roman"/>
          <w:sz w:val="24"/>
          <w:szCs w:val="24"/>
          <w:lang w:eastAsia="ar-SA"/>
        </w:rPr>
        <w:t>85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балл</w:t>
      </w:r>
      <w:r w:rsidR="00E42090">
        <w:rPr>
          <w:rFonts w:ascii="Times New Roman" w:hAnsi="Times New Roman"/>
          <w:sz w:val="24"/>
          <w:szCs w:val="24"/>
          <w:lang w:eastAsia="ar-SA"/>
        </w:rPr>
        <w:t>ов</w:t>
      </w:r>
      <w:r w:rsidRPr="0089069A">
        <w:rPr>
          <w:rFonts w:ascii="Times New Roman" w:hAnsi="Times New Roman"/>
          <w:sz w:val="24"/>
          <w:szCs w:val="24"/>
          <w:lang w:eastAsia="ar-SA"/>
        </w:rPr>
        <w:t>; плановое значение показателей на 202</w:t>
      </w:r>
      <w:r w:rsidR="00E42090">
        <w:rPr>
          <w:rFonts w:ascii="Times New Roman" w:hAnsi="Times New Roman"/>
          <w:sz w:val="24"/>
          <w:szCs w:val="24"/>
          <w:lang w:eastAsia="ar-SA"/>
        </w:rPr>
        <w:t>3</w:t>
      </w:r>
      <w:r w:rsidRPr="0089069A">
        <w:rPr>
          <w:rFonts w:ascii="Times New Roman" w:hAnsi="Times New Roman"/>
          <w:sz w:val="24"/>
          <w:szCs w:val="24"/>
          <w:lang w:eastAsia="ar-SA"/>
        </w:rPr>
        <w:t>-202</w:t>
      </w:r>
      <w:r w:rsidR="00E42090">
        <w:rPr>
          <w:rFonts w:ascii="Times New Roman" w:hAnsi="Times New Roman"/>
          <w:sz w:val="24"/>
          <w:szCs w:val="24"/>
          <w:lang w:eastAsia="ar-SA"/>
        </w:rPr>
        <w:t>5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годы – 8</w:t>
      </w:r>
      <w:r w:rsidR="00E42090">
        <w:rPr>
          <w:rFonts w:ascii="Times New Roman" w:hAnsi="Times New Roman"/>
          <w:sz w:val="24"/>
          <w:szCs w:val="24"/>
          <w:lang w:eastAsia="ar-SA"/>
        </w:rPr>
        <w:t>6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балл</w:t>
      </w:r>
      <w:r w:rsidR="00E42090">
        <w:rPr>
          <w:rFonts w:ascii="Times New Roman" w:hAnsi="Times New Roman"/>
          <w:sz w:val="24"/>
          <w:szCs w:val="24"/>
          <w:lang w:eastAsia="ar-SA"/>
        </w:rPr>
        <w:t>ов</w:t>
      </w:r>
      <w:r w:rsidRPr="0089069A">
        <w:rPr>
          <w:rFonts w:ascii="Times New Roman" w:hAnsi="Times New Roman"/>
          <w:sz w:val="24"/>
          <w:szCs w:val="24"/>
          <w:lang w:eastAsia="ar-SA"/>
        </w:rPr>
        <w:t>;</w:t>
      </w:r>
    </w:p>
    <w:p w:rsidR="00FD42BF" w:rsidRPr="0089069A" w:rsidRDefault="00FD42BF" w:rsidP="00781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069A">
        <w:rPr>
          <w:rFonts w:ascii="Times New Roman" w:hAnsi="Times New Roman"/>
          <w:sz w:val="24"/>
          <w:szCs w:val="24"/>
          <w:lang w:eastAsia="ar-SA"/>
        </w:rPr>
        <w:t xml:space="preserve">В сфере образования: </w:t>
      </w:r>
      <w:r w:rsidR="00CC6E27">
        <w:rPr>
          <w:rFonts w:ascii="Times New Roman" w:hAnsi="Times New Roman"/>
          <w:sz w:val="24"/>
          <w:szCs w:val="24"/>
          <w:lang w:eastAsia="ar-SA"/>
        </w:rPr>
        <w:t>п</w:t>
      </w:r>
      <w:r w:rsidRPr="0089069A">
        <w:rPr>
          <w:rFonts w:ascii="Times New Roman" w:hAnsi="Times New Roman"/>
          <w:sz w:val="24"/>
          <w:szCs w:val="24"/>
          <w:lang w:eastAsia="ar-SA"/>
        </w:rPr>
        <w:t>оказатель в 202</w:t>
      </w:r>
      <w:r w:rsidR="00E42090">
        <w:rPr>
          <w:rFonts w:ascii="Times New Roman" w:hAnsi="Times New Roman"/>
          <w:sz w:val="24"/>
          <w:szCs w:val="24"/>
          <w:lang w:eastAsia="ar-SA"/>
        </w:rPr>
        <w:t>2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году составил </w:t>
      </w:r>
      <w:r w:rsidR="00E42090">
        <w:rPr>
          <w:rFonts w:ascii="Times New Roman" w:hAnsi="Times New Roman"/>
          <w:sz w:val="24"/>
          <w:szCs w:val="24"/>
          <w:lang w:eastAsia="ar-SA"/>
        </w:rPr>
        <w:t>83,88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балла; плановое значение показателей на 202</w:t>
      </w:r>
      <w:r w:rsidR="00E42090">
        <w:rPr>
          <w:rFonts w:ascii="Times New Roman" w:hAnsi="Times New Roman"/>
          <w:sz w:val="24"/>
          <w:szCs w:val="24"/>
          <w:lang w:eastAsia="ar-SA"/>
        </w:rPr>
        <w:t>3</w:t>
      </w:r>
      <w:r w:rsidRPr="0089069A">
        <w:rPr>
          <w:rFonts w:ascii="Times New Roman" w:hAnsi="Times New Roman"/>
          <w:sz w:val="24"/>
          <w:szCs w:val="24"/>
          <w:lang w:eastAsia="ar-SA"/>
        </w:rPr>
        <w:t>-202</w:t>
      </w:r>
      <w:r w:rsidR="00E42090">
        <w:rPr>
          <w:rFonts w:ascii="Times New Roman" w:hAnsi="Times New Roman"/>
          <w:sz w:val="24"/>
          <w:szCs w:val="24"/>
          <w:lang w:eastAsia="ar-SA"/>
        </w:rPr>
        <w:t xml:space="preserve">5 </w:t>
      </w:r>
      <w:r w:rsidRPr="0089069A">
        <w:rPr>
          <w:rFonts w:ascii="Times New Roman" w:hAnsi="Times New Roman"/>
          <w:sz w:val="24"/>
          <w:szCs w:val="24"/>
          <w:lang w:eastAsia="ar-SA"/>
        </w:rPr>
        <w:t>годы – 8</w:t>
      </w:r>
      <w:r w:rsidR="00E42090">
        <w:rPr>
          <w:rFonts w:ascii="Times New Roman" w:hAnsi="Times New Roman"/>
          <w:sz w:val="24"/>
          <w:szCs w:val="24"/>
          <w:lang w:eastAsia="ar-SA"/>
        </w:rPr>
        <w:t>4</w:t>
      </w:r>
      <w:r w:rsidRPr="0089069A">
        <w:rPr>
          <w:rFonts w:ascii="Times New Roman" w:hAnsi="Times New Roman"/>
          <w:sz w:val="24"/>
          <w:szCs w:val="24"/>
          <w:lang w:eastAsia="ar-SA"/>
        </w:rPr>
        <w:t xml:space="preserve"> балл</w:t>
      </w:r>
      <w:r w:rsidR="00E42090">
        <w:rPr>
          <w:rFonts w:ascii="Times New Roman" w:hAnsi="Times New Roman"/>
          <w:sz w:val="24"/>
          <w:szCs w:val="24"/>
          <w:lang w:eastAsia="ar-SA"/>
        </w:rPr>
        <w:t>а</w:t>
      </w:r>
      <w:r w:rsidRPr="0089069A">
        <w:rPr>
          <w:rFonts w:ascii="Times New Roman" w:hAnsi="Times New Roman"/>
          <w:sz w:val="24"/>
          <w:szCs w:val="24"/>
          <w:lang w:eastAsia="ar-SA"/>
        </w:rPr>
        <w:t>.</w:t>
      </w:r>
    </w:p>
    <w:p w:rsidR="00FD42BF" w:rsidRPr="0089069A" w:rsidRDefault="00FD42BF" w:rsidP="00781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42BF" w:rsidRPr="0089069A" w:rsidRDefault="00FD42BF" w:rsidP="00781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42BF" w:rsidRPr="0089069A" w:rsidRDefault="00FD42BF" w:rsidP="007818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D42BF" w:rsidRPr="0089069A" w:rsidRDefault="00FD42BF" w:rsidP="0078182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69A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округа – </w:t>
      </w:r>
    </w:p>
    <w:p w:rsidR="00FD42BF" w:rsidRPr="0089069A" w:rsidRDefault="00FD42BF" w:rsidP="0078182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69A">
        <w:rPr>
          <w:rFonts w:ascii="Times New Roman" w:hAnsi="Times New Roman"/>
          <w:color w:val="000000"/>
          <w:sz w:val="24"/>
          <w:szCs w:val="24"/>
        </w:rPr>
        <w:t xml:space="preserve">глава администрации Александровского </w:t>
      </w:r>
    </w:p>
    <w:p w:rsidR="00FD42BF" w:rsidRPr="0089069A" w:rsidRDefault="00FD42BF" w:rsidP="0078182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9A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89069A">
        <w:rPr>
          <w:rFonts w:ascii="Times New Roman" w:hAnsi="Times New Roman"/>
          <w:color w:val="000000"/>
          <w:sz w:val="24"/>
          <w:szCs w:val="24"/>
        </w:rPr>
        <w:tab/>
      </w:r>
      <w:r w:rsidRPr="0089069A">
        <w:rPr>
          <w:rFonts w:ascii="Times New Roman" w:hAnsi="Times New Roman"/>
          <w:color w:val="000000"/>
          <w:sz w:val="24"/>
          <w:szCs w:val="24"/>
        </w:rPr>
        <w:tab/>
      </w:r>
      <w:r w:rsidRPr="0089069A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89069A">
        <w:rPr>
          <w:rFonts w:ascii="Times New Roman" w:hAnsi="Times New Roman"/>
          <w:color w:val="000000"/>
          <w:sz w:val="24"/>
          <w:szCs w:val="24"/>
        </w:rPr>
        <w:tab/>
      </w:r>
      <w:r w:rsidRPr="0089069A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0717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89069A">
        <w:rPr>
          <w:rFonts w:ascii="Times New Roman" w:hAnsi="Times New Roman"/>
          <w:color w:val="000000"/>
          <w:sz w:val="24"/>
          <w:szCs w:val="24"/>
        </w:rPr>
        <w:t xml:space="preserve"> О.Э. Лаврова</w:t>
      </w:r>
    </w:p>
    <w:sectPr w:rsidR="00FD42BF" w:rsidRPr="0089069A" w:rsidSect="0089069A">
      <w:headerReference w:type="default" r:id="rId8"/>
      <w:pgSz w:w="11906" w:h="16838"/>
      <w:pgMar w:top="-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1D" w:rsidRDefault="0039131D" w:rsidP="000C74EF">
      <w:pPr>
        <w:spacing w:after="0" w:line="240" w:lineRule="auto"/>
      </w:pPr>
      <w:r>
        <w:separator/>
      </w:r>
    </w:p>
  </w:endnote>
  <w:endnote w:type="continuationSeparator" w:id="0">
    <w:p w:rsidR="0039131D" w:rsidRDefault="0039131D" w:rsidP="000C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1D" w:rsidRDefault="0039131D" w:rsidP="000C74EF">
      <w:pPr>
        <w:spacing w:after="0" w:line="240" w:lineRule="auto"/>
      </w:pPr>
      <w:r>
        <w:separator/>
      </w:r>
    </w:p>
  </w:footnote>
  <w:footnote w:type="continuationSeparator" w:id="0">
    <w:p w:rsidR="0039131D" w:rsidRDefault="0039131D" w:rsidP="000C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F2C" w:rsidRDefault="00DB0F2C" w:rsidP="0089069A">
    <w:pPr>
      <w:pStyle w:val="a6"/>
    </w:pPr>
  </w:p>
  <w:p w:rsidR="00DB0F2C" w:rsidRDefault="00DB0F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3A8"/>
    <w:multiLevelType w:val="multilevel"/>
    <w:tmpl w:val="2104EA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454F1A02"/>
    <w:multiLevelType w:val="hybridMultilevel"/>
    <w:tmpl w:val="CD163B54"/>
    <w:lvl w:ilvl="0" w:tplc="912A6284">
      <w:start w:val="1"/>
      <w:numFmt w:val="decimal"/>
      <w:lvlText w:val="%1."/>
      <w:lvlJc w:val="left"/>
      <w:pPr>
        <w:ind w:left="1050" w:hanging="847"/>
      </w:pPr>
      <w:rPr>
        <w:rFonts w:hint="default"/>
        <w:w w:val="102"/>
        <w:lang w:val="ru-RU" w:eastAsia="en-US" w:bidi="ar-SA"/>
      </w:rPr>
    </w:lvl>
    <w:lvl w:ilvl="1" w:tplc="E7E6E14C">
      <w:start w:val="1"/>
      <w:numFmt w:val="decimal"/>
      <w:lvlText w:val="%2."/>
      <w:lvlJc w:val="left"/>
      <w:pPr>
        <w:ind w:left="2044" w:hanging="277"/>
        <w:jc w:val="right"/>
      </w:pPr>
      <w:rPr>
        <w:rFonts w:hint="default"/>
        <w:b/>
        <w:bCs/>
        <w:w w:val="103"/>
        <w:lang w:val="ru-RU" w:eastAsia="en-US" w:bidi="ar-SA"/>
      </w:rPr>
    </w:lvl>
    <w:lvl w:ilvl="2" w:tplc="BAF0401E">
      <w:start w:val="1"/>
      <w:numFmt w:val="decimal"/>
      <w:lvlText w:val="%3)"/>
      <w:lvlJc w:val="left"/>
      <w:pPr>
        <w:ind w:left="1688" w:hanging="346"/>
      </w:pPr>
      <w:rPr>
        <w:rFonts w:hint="default"/>
        <w:w w:val="102"/>
        <w:lang w:val="ru-RU" w:eastAsia="en-US" w:bidi="ar-SA"/>
      </w:rPr>
    </w:lvl>
    <w:lvl w:ilvl="3" w:tplc="1550E548">
      <w:start w:val="1"/>
      <w:numFmt w:val="decimal"/>
      <w:lvlText w:val="%4)"/>
      <w:lvlJc w:val="left"/>
      <w:pPr>
        <w:ind w:left="1695" w:hanging="690"/>
        <w:jc w:val="right"/>
      </w:pPr>
      <w:rPr>
        <w:rFonts w:hint="default"/>
        <w:w w:val="99"/>
        <w:lang w:val="ru-RU" w:eastAsia="en-US" w:bidi="ar-SA"/>
      </w:rPr>
    </w:lvl>
    <w:lvl w:ilvl="4" w:tplc="886AB9DE">
      <w:numFmt w:val="bullet"/>
      <w:lvlText w:val="•"/>
      <w:lvlJc w:val="left"/>
      <w:pPr>
        <w:ind w:left="3328" w:hanging="690"/>
      </w:pPr>
      <w:rPr>
        <w:rFonts w:hint="default"/>
        <w:lang w:val="ru-RU" w:eastAsia="en-US" w:bidi="ar-SA"/>
      </w:rPr>
    </w:lvl>
    <w:lvl w:ilvl="5" w:tplc="22848EA2">
      <w:numFmt w:val="bullet"/>
      <w:lvlText w:val="•"/>
      <w:lvlJc w:val="left"/>
      <w:pPr>
        <w:ind w:left="4616" w:hanging="690"/>
      </w:pPr>
      <w:rPr>
        <w:rFonts w:hint="default"/>
        <w:lang w:val="ru-RU" w:eastAsia="en-US" w:bidi="ar-SA"/>
      </w:rPr>
    </w:lvl>
    <w:lvl w:ilvl="6" w:tplc="43F6B3E2">
      <w:numFmt w:val="bullet"/>
      <w:lvlText w:val="•"/>
      <w:lvlJc w:val="left"/>
      <w:pPr>
        <w:ind w:left="5904" w:hanging="690"/>
      </w:pPr>
      <w:rPr>
        <w:rFonts w:hint="default"/>
        <w:lang w:val="ru-RU" w:eastAsia="en-US" w:bidi="ar-SA"/>
      </w:rPr>
    </w:lvl>
    <w:lvl w:ilvl="7" w:tplc="9B2214E6">
      <w:numFmt w:val="bullet"/>
      <w:lvlText w:val="•"/>
      <w:lvlJc w:val="left"/>
      <w:pPr>
        <w:ind w:left="7192" w:hanging="690"/>
      </w:pPr>
      <w:rPr>
        <w:rFonts w:hint="default"/>
        <w:lang w:val="ru-RU" w:eastAsia="en-US" w:bidi="ar-SA"/>
      </w:rPr>
    </w:lvl>
    <w:lvl w:ilvl="8" w:tplc="0E9E43D4">
      <w:numFmt w:val="bullet"/>
      <w:lvlText w:val="•"/>
      <w:lvlJc w:val="left"/>
      <w:pPr>
        <w:ind w:left="8480" w:hanging="690"/>
      </w:pPr>
      <w:rPr>
        <w:rFonts w:hint="default"/>
        <w:lang w:val="ru-RU" w:eastAsia="en-US" w:bidi="ar-SA"/>
      </w:rPr>
    </w:lvl>
  </w:abstractNum>
  <w:abstractNum w:abstractNumId="2" w15:restartNumberingAfterBreak="0">
    <w:nsid w:val="513E0E67"/>
    <w:multiLevelType w:val="multilevel"/>
    <w:tmpl w:val="81D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57857"/>
    <w:multiLevelType w:val="hybridMultilevel"/>
    <w:tmpl w:val="ACE08548"/>
    <w:lvl w:ilvl="0" w:tplc="45DA11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D74"/>
    <w:rsid w:val="0000580E"/>
    <w:rsid w:val="00010197"/>
    <w:rsid w:val="000146F2"/>
    <w:rsid w:val="000177D4"/>
    <w:rsid w:val="00017C89"/>
    <w:rsid w:val="00022D89"/>
    <w:rsid w:val="00026CDE"/>
    <w:rsid w:val="00030E20"/>
    <w:rsid w:val="00031FBF"/>
    <w:rsid w:val="00032F38"/>
    <w:rsid w:val="0004045D"/>
    <w:rsid w:val="00041626"/>
    <w:rsid w:val="00044B65"/>
    <w:rsid w:val="00045805"/>
    <w:rsid w:val="000516D0"/>
    <w:rsid w:val="00062459"/>
    <w:rsid w:val="00067556"/>
    <w:rsid w:val="0007170F"/>
    <w:rsid w:val="00081B7B"/>
    <w:rsid w:val="00092421"/>
    <w:rsid w:val="000A33BA"/>
    <w:rsid w:val="000A4231"/>
    <w:rsid w:val="000A62D1"/>
    <w:rsid w:val="000A6A6F"/>
    <w:rsid w:val="000B2829"/>
    <w:rsid w:val="000B3633"/>
    <w:rsid w:val="000B4621"/>
    <w:rsid w:val="000C092E"/>
    <w:rsid w:val="000C1491"/>
    <w:rsid w:val="000C6D3C"/>
    <w:rsid w:val="000C74EF"/>
    <w:rsid w:val="000D6341"/>
    <w:rsid w:val="000E2CDD"/>
    <w:rsid w:val="000F29BB"/>
    <w:rsid w:val="001029C0"/>
    <w:rsid w:val="001050E0"/>
    <w:rsid w:val="0012110A"/>
    <w:rsid w:val="00122D30"/>
    <w:rsid w:val="001305E3"/>
    <w:rsid w:val="00137816"/>
    <w:rsid w:val="00142309"/>
    <w:rsid w:val="00144696"/>
    <w:rsid w:val="00156441"/>
    <w:rsid w:val="00156493"/>
    <w:rsid w:val="00160A9B"/>
    <w:rsid w:val="001708CE"/>
    <w:rsid w:val="0018493E"/>
    <w:rsid w:val="00190F9D"/>
    <w:rsid w:val="001A01AB"/>
    <w:rsid w:val="001A0A31"/>
    <w:rsid w:val="001C2371"/>
    <w:rsid w:val="001D7A1C"/>
    <w:rsid w:val="001E68A2"/>
    <w:rsid w:val="001F2301"/>
    <w:rsid w:val="001F25DE"/>
    <w:rsid w:val="001F2942"/>
    <w:rsid w:val="001F43F0"/>
    <w:rsid w:val="0020253D"/>
    <w:rsid w:val="00206B03"/>
    <w:rsid w:val="002146B4"/>
    <w:rsid w:val="0022369A"/>
    <w:rsid w:val="00231275"/>
    <w:rsid w:val="00237D08"/>
    <w:rsid w:val="0024282E"/>
    <w:rsid w:val="002464A3"/>
    <w:rsid w:val="00247381"/>
    <w:rsid w:val="002568DF"/>
    <w:rsid w:val="002632A0"/>
    <w:rsid w:val="00273C11"/>
    <w:rsid w:val="0027778C"/>
    <w:rsid w:val="00295644"/>
    <w:rsid w:val="00295BE3"/>
    <w:rsid w:val="00296580"/>
    <w:rsid w:val="002A3899"/>
    <w:rsid w:val="002C0613"/>
    <w:rsid w:val="002C0894"/>
    <w:rsid w:val="002D3C9A"/>
    <w:rsid w:val="002D656B"/>
    <w:rsid w:val="002E724C"/>
    <w:rsid w:val="002F1DD5"/>
    <w:rsid w:val="002F4ED9"/>
    <w:rsid w:val="002F69DF"/>
    <w:rsid w:val="00300624"/>
    <w:rsid w:val="00321CC2"/>
    <w:rsid w:val="00322FE2"/>
    <w:rsid w:val="00325DE2"/>
    <w:rsid w:val="00327E13"/>
    <w:rsid w:val="003339EA"/>
    <w:rsid w:val="00337999"/>
    <w:rsid w:val="0034187B"/>
    <w:rsid w:val="00344E35"/>
    <w:rsid w:val="00345EF2"/>
    <w:rsid w:val="00380281"/>
    <w:rsid w:val="00382039"/>
    <w:rsid w:val="0038386F"/>
    <w:rsid w:val="0039131D"/>
    <w:rsid w:val="003A01B9"/>
    <w:rsid w:val="003A5458"/>
    <w:rsid w:val="003A702A"/>
    <w:rsid w:val="003A7A81"/>
    <w:rsid w:val="003B2026"/>
    <w:rsid w:val="003B5483"/>
    <w:rsid w:val="003D15EA"/>
    <w:rsid w:val="003D365E"/>
    <w:rsid w:val="003D5C13"/>
    <w:rsid w:val="003E16B6"/>
    <w:rsid w:val="003E3EDB"/>
    <w:rsid w:val="004038D3"/>
    <w:rsid w:val="00406194"/>
    <w:rsid w:val="00407FA3"/>
    <w:rsid w:val="004177D4"/>
    <w:rsid w:val="00435769"/>
    <w:rsid w:val="004369F8"/>
    <w:rsid w:val="00437E33"/>
    <w:rsid w:val="00440FF0"/>
    <w:rsid w:val="00446D74"/>
    <w:rsid w:val="00456119"/>
    <w:rsid w:val="004570EC"/>
    <w:rsid w:val="00461C18"/>
    <w:rsid w:val="00464026"/>
    <w:rsid w:val="004644BA"/>
    <w:rsid w:val="0046460D"/>
    <w:rsid w:val="00465778"/>
    <w:rsid w:val="00466CF1"/>
    <w:rsid w:val="004709B2"/>
    <w:rsid w:val="00471BDF"/>
    <w:rsid w:val="00471C91"/>
    <w:rsid w:val="004840A7"/>
    <w:rsid w:val="00485203"/>
    <w:rsid w:val="00486CC3"/>
    <w:rsid w:val="004938FA"/>
    <w:rsid w:val="00494A89"/>
    <w:rsid w:val="004956E8"/>
    <w:rsid w:val="004957E3"/>
    <w:rsid w:val="00495A95"/>
    <w:rsid w:val="004A2C3D"/>
    <w:rsid w:val="004A745A"/>
    <w:rsid w:val="004B7264"/>
    <w:rsid w:val="004B7394"/>
    <w:rsid w:val="004C47F6"/>
    <w:rsid w:val="004C548C"/>
    <w:rsid w:val="004C5872"/>
    <w:rsid w:val="004D0D6D"/>
    <w:rsid w:val="004D35BB"/>
    <w:rsid w:val="004D45C0"/>
    <w:rsid w:val="00522C7F"/>
    <w:rsid w:val="00526BB4"/>
    <w:rsid w:val="0053531E"/>
    <w:rsid w:val="0053559D"/>
    <w:rsid w:val="00535761"/>
    <w:rsid w:val="00542514"/>
    <w:rsid w:val="0055167F"/>
    <w:rsid w:val="00555E37"/>
    <w:rsid w:val="00562AC9"/>
    <w:rsid w:val="00572B52"/>
    <w:rsid w:val="005854FB"/>
    <w:rsid w:val="00585E11"/>
    <w:rsid w:val="00587BA7"/>
    <w:rsid w:val="00587EA7"/>
    <w:rsid w:val="00590F9B"/>
    <w:rsid w:val="005A763D"/>
    <w:rsid w:val="005A77CD"/>
    <w:rsid w:val="005B0859"/>
    <w:rsid w:val="005B323E"/>
    <w:rsid w:val="005C113D"/>
    <w:rsid w:val="005C128E"/>
    <w:rsid w:val="005C1A21"/>
    <w:rsid w:val="005C215A"/>
    <w:rsid w:val="005C33EE"/>
    <w:rsid w:val="005D29B6"/>
    <w:rsid w:val="005D7B27"/>
    <w:rsid w:val="005E0B1D"/>
    <w:rsid w:val="005E15FB"/>
    <w:rsid w:val="005E4219"/>
    <w:rsid w:val="00600684"/>
    <w:rsid w:val="00602A8D"/>
    <w:rsid w:val="006057A7"/>
    <w:rsid w:val="006114D4"/>
    <w:rsid w:val="00612F11"/>
    <w:rsid w:val="0061393F"/>
    <w:rsid w:val="00617D6A"/>
    <w:rsid w:val="00617D8E"/>
    <w:rsid w:val="00617E1E"/>
    <w:rsid w:val="00623990"/>
    <w:rsid w:val="00623AC2"/>
    <w:rsid w:val="006247AA"/>
    <w:rsid w:val="0063351D"/>
    <w:rsid w:val="00634DAC"/>
    <w:rsid w:val="00642814"/>
    <w:rsid w:val="00643ED8"/>
    <w:rsid w:val="00656BD3"/>
    <w:rsid w:val="006647BD"/>
    <w:rsid w:val="00666E6F"/>
    <w:rsid w:val="00671CE0"/>
    <w:rsid w:val="00672342"/>
    <w:rsid w:val="00676DB7"/>
    <w:rsid w:val="0068079B"/>
    <w:rsid w:val="0068222E"/>
    <w:rsid w:val="00685CE1"/>
    <w:rsid w:val="00685F27"/>
    <w:rsid w:val="00687C2D"/>
    <w:rsid w:val="00690EE6"/>
    <w:rsid w:val="00691E85"/>
    <w:rsid w:val="00695656"/>
    <w:rsid w:val="006A41A3"/>
    <w:rsid w:val="006A5E5C"/>
    <w:rsid w:val="006C38C9"/>
    <w:rsid w:val="006D31D7"/>
    <w:rsid w:val="006E1724"/>
    <w:rsid w:val="0070139A"/>
    <w:rsid w:val="00703DF3"/>
    <w:rsid w:val="00711E56"/>
    <w:rsid w:val="00721353"/>
    <w:rsid w:val="00721DE1"/>
    <w:rsid w:val="0072770D"/>
    <w:rsid w:val="0076426E"/>
    <w:rsid w:val="00771D77"/>
    <w:rsid w:val="007733F7"/>
    <w:rsid w:val="0077358A"/>
    <w:rsid w:val="0077596C"/>
    <w:rsid w:val="00780477"/>
    <w:rsid w:val="00781827"/>
    <w:rsid w:val="00792DA7"/>
    <w:rsid w:val="007938FD"/>
    <w:rsid w:val="00794E05"/>
    <w:rsid w:val="007B2401"/>
    <w:rsid w:val="007B2A38"/>
    <w:rsid w:val="007B3BFB"/>
    <w:rsid w:val="007C3B77"/>
    <w:rsid w:val="007C597B"/>
    <w:rsid w:val="007D39E6"/>
    <w:rsid w:val="007F0A6C"/>
    <w:rsid w:val="00804350"/>
    <w:rsid w:val="00815349"/>
    <w:rsid w:val="00825A83"/>
    <w:rsid w:val="0084032E"/>
    <w:rsid w:val="00846019"/>
    <w:rsid w:val="0085144D"/>
    <w:rsid w:val="00851CC4"/>
    <w:rsid w:val="008560F6"/>
    <w:rsid w:val="00867993"/>
    <w:rsid w:val="0089069A"/>
    <w:rsid w:val="008934E4"/>
    <w:rsid w:val="008952E3"/>
    <w:rsid w:val="00897DF1"/>
    <w:rsid w:val="008A2C03"/>
    <w:rsid w:val="008C1610"/>
    <w:rsid w:val="008C68B4"/>
    <w:rsid w:val="008E55DD"/>
    <w:rsid w:val="008E6E69"/>
    <w:rsid w:val="008F2C89"/>
    <w:rsid w:val="008F39BB"/>
    <w:rsid w:val="008F3DC7"/>
    <w:rsid w:val="00903B38"/>
    <w:rsid w:val="00910401"/>
    <w:rsid w:val="0091224E"/>
    <w:rsid w:val="00914D3A"/>
    <w:rsid w:val="00935340"/>
    <w:rsid w:val="00942343"/>
    <w:rsid w:val="009464D7"/>
    <w:rsid w:val="0095240A"/>
    <w:rsid w:val="009563DF"/>
    <w:rsid w:val="0096165C"/>
    <w:rsid w:val="00977100"/>
    <w:rsid w:val="00982E65"/>
    <w:rsid w:val="0098761E"/>
    <w:rsid w:val="0099268D"/>
    <w:rsid w:val="009A6E79"/>
    <w:rsid w:val="009C154F"/>
    <w:rsid w:val="009D5860"/>
    <w:rsid w:val="009D7D23"/>
    <w:rsid w:val="009E02BD"/>
    <w:rsid w:val="009E74BF"/>
    <w:rsid w:val="009F2285"/>
    <w:rsid w:val="00A028E8"/>
    <w:rsid w:val="00A03381"/>
    <w:rsid w:val="00A037E9"/>
    <w:rsid w:val="00A1129C"/>
    <w:rsid w:val="00A1591A"/>
    <w:rsid w:val="00A3191E"/>
    <w:rsid w:val="00A31B8A"/>
    <w:rsid w:val="00A33570"/>
    <w:rsid w:val="00A347B0"/>
    <w:rsid w:val="00A4513F"/>
    <w:rsid w:val="00A453C0"/>
    <w:rsid w:val="00A52305"/>
    <w:rsid w:val="00A52D9D"/>
    <w:rsid w:val="00A6646F"/>
    <w:rsid w:val="00A72FE2"/>
    <w:rsid w:val="00A75AC8"/>
    <w:rsid w:val="00A81ED8"/>
    <w:rsid w:val="00A85D90"/>
    <w:rsid w:val="00A866EC"/>
    <w:rsid w:val="00A914FA"/>
    <w:rsid w:val="00A96693"/>
    <w:rsid w:val="00AB0D53"/>
    <w:rsid w:val="00AB1931"/>
    <w:rsid w:val="00AC3EF3"/>
    <w:rsid w:val="00AC3F51"/>
    <w:rsid w:val="00AC6CC3"/>
    <w:rsid w:val="00AD0941"/>
    <w:rsid w:val="00AE1406"/>
    <w:rsid w:val="00AE68E8"/>
    <w:rsid w:val="00AE6BC2"/>
    <w:rsid w:val="00AF3F1D"/>
    <w:rsid w:val="00AF41A9"/>
    <w:rsid w:val="00AF49AA"/>
    <w:rsid w:val="00B00D27"/>
    <w:rsid w:val="00B124D7"/>
    <w:rsid w:val="00B158BF"/>
    <w:rsid w:val="00B21EE4"/>
    <w:rsid w:val="00B32408"/>
    <w:rsid w:val="00B32E8B"/>
    <w:rsid w:val="00B378F0"/>
    <w:rsid w:val="00B4372F"/>
    <w:rsid w:val="00B459BD"/>
    <w:rsid w:val="00B4743B"/>
    <w:rsid w:val="00B5767C"/>
    <w:rsid w:val="00B709AC"/>
    <w:rsid w:val="00B73CE4"/>
    <w:rsid w:val="00B7444C"/>
    <w:rsid w:val="00B7580D"/>
    <w:rsid w:val="00B75C0C"/>
    <w:rsid w:val="00B77971"/>
    <w:rsid w:val="00B82B8E"/>
    <w:rsid w:val="00B82DC0"/>
    <w:rsid w:val="00B921B0"/>
    <w:rsid w:val="00B95321"/>
    <w:rsid w:val="00B96A4C"/>
    <w:rsid w:val="00BA2A80"/>
    <w:rsid w:val="00BA5A31"/>
    <w:rsid w:val="00BA7C71"/>
    <w:rsid w:val="00BA7DE3"/>
    <w:rsid w:val="00BB1D75"/>
    <w:rsid w:val="00BB1ECF"/>
    <w:rsid w:val="00BB399A"/>
    <w:rsid w:val="00BC594C"/>
    <w:rsid w:val="00BC6047"/>
    <w:rsid w:val="00BD46A6"/>
    <w:rsid w:val="00BD5AB7"/>
    <w:rsid w:val="00BF0C52"/>
    <w:rsid w:val="00BF68B8"/>
    <w:rsid w:val="00C003DE"/>
    <w:rsid w:val="00C0690F"/>
    <w:rsid w:val="00C103DA"/>
    <w:rsid w:val="00C10692"/>
    <w:rsid w:val="00C243AC"/>
    <w:rsid w:val="00C37998"/>
    <w:rsid w:val="00C46B06"/>
    <w:rsid w:val="00C55E15"/>
    <w:rsid w:val="00C579ED"/>
    <w:rsid w:val="00C612E7"/>
    <w:rsid w:val="00C6571F"/>
    <w:rsid w:val="00C65851"/>
    <w:rsid w:val="00C66E2F"/>
    <w:rsid w:val="00C75CFC"/>
    <w:rsid w:val="00C84118"/>
    <w:rsid w:val="00CA1693"/>
    <w:rsid w:val="00CB7757"/>
    <w:rsid w:val="00CB7E60"/>
    <w:rsid w:val="00CC0759"/>
    <w:rsid w:val="00CC0A0D"/>
    <w:rsid w:val="00CC2F26"/>
    <w:rsid w:val="00CC49F1"/>
    <w:rsid w:val="00CC4FC5"/>
    <w:rsid w:val="00CC6E27"/>
    <w:rsid w:val="00CD2F3B"/>
    <w:rsid w:val="00CD7CAE"/>
    <w:rsid w:val="00CE6FF1"/>
    <w:rsid w:val="00CE7527"/>
    <w:rsid w:val="00CF6CB5"/>
    <w:rsid w:val="00D02BF8"/>
    <w:rsid w:val="00D04BC7"/>
    <w:rsid w:val="00D141F4"/>
    <w:rsid w:val="00D16019"/>
    <w:rsid w:val="00D22113"/>
    <w:rsid w:val="00D32C28"/>
    <w:rsid w:val="00D334FF"/>
    <w:rsid w:val="00D471B7"/>
    <w:rsid w:val="00D52B3F"/>
    <w:rsid w:val="00D54C19"/>
    <w:rsid w:val="00D56F67"/>
    <w:rsid w:val="00D612AC"/>
    <w:rsid w:val="00D674C0"/>
    <w:rsid w:val="00D72F07"/>
    <w:rsid w:val="00D76622"/>
    <w:rsid w:val="00D83855"/>
    <w:rsid w:val="00D92412"/>
    <w:rsid w:val="00DA59C5"/>
    <w:rsid w:val="00DB0F2C"/>
    <w:rsid w:val="00DB3D15"/>
    <w:rsid w:val="00DC204A"/>
    <w:rsid w:val="00DD17C0"/>
    <w:rsid w:val="00DD1BFA"/>
    <w:rsid w:val="00DE352C"/>
    <w:rsid w:val="00DE5E56"/>
    <w:rsid w:val="00DE62B5"/>
    <w:rsid w:val="00DE74E5"/>
    <w:rsid w:val="00DF1E2A"/>
    <w:rsid w:val="00DF4900"/>
    <w:rsid w:val="00DF7865"/>
    <w:rsid w:val="00E02195"/>
    <w:rsid w:val="00E1023E"/>
    <w:rsid w:val="00E10546"/>
    <w:rsid w:val="00E25536"/>
    <w:rsid w:val="00E403C8"/>
    <w:rsid w:val="00E41D05"/>
    <w:rsid w:val="00E42090"/>
    <w:rsid w:val="00E4518D"/>
    <w:rsid w:val="00E5231F"/>
    <w:rsid w:val="00E629A2"/>
    <w:rsid w:val="00E65FBE"/>
    <w:rsid w:val="00E71F3B"/>
    <w:rsid w:val="00E723D5"/>
    <w:rsid w:val="00E9523C"/>
    <w:rsid w:val="00E975C3"/>
    <w:rsid w:val="00EA5B79"/>
    <w:rsid w:val="00EA5DC5"/>
    <w:rsid w:val="00EB0EC5"/>
    <w:rsid w:val="00EB2AF3"/>
    <w:rsid w:val="00EB5F47"/>
    <w:rsid w:val="00EE0172"/>
    <w:rsid w:val="00EE142D"/>
    <w:rsid w:val="00EE69DC"/>
    <w:rsid w:val="00F01A5C"/>
    <w:rsid w:val="00F0320C"/>
    <w:rsid w:val="00F10FD0"/>
    <w:rsid w:val="00F1690F"/>
    <w:rsid w:val="00F21447"/>
    <w:rsid w:val="00F23C5D"/>
    <w:rsid w:val="00F32255"/>
    <w:rsid w:val="00F363A6"/>
    <w:rsid w:val="00F374DD"/>
    <w:rsid w:val="00F54489"/>
    <w:rsid w:val="00F56D7B"/>
    <w:rsid w:val="00F63170"/>
    <w:rsid w:val="00F71B07"/>
    <w:rsid w:val="00F8041C"/>
    <w:rsid w:val="00F82379"/>
    <w:rsid w:val="00F83CCB"/>
    <w:rsid w:val="00F8550B"/>
    <w:rsid w:val="00FA26A1"/>
    <w:rsid w:val="00FA342B"/>
    <w:rsid w:val="00FA3494"/>
    <w:rsid w:val="00FA7A05"/>
    <w:rsid w:val="00FB5B0D"/>
    <w:rsid w:val="00FB69AC"/>
    <w:rsid w:val="00FC2EF9"/>
    <w:rsid w:val="00FC5FE2"/>
    <w:rsid w:val="00FC66A3"/>
    <w:rsid w:val="00FC7EE6"/>
    <w:rsid w:val="00FD2A48"/>
    <w:rsid w:val="00FD42BF"/>
    <w:rsid w:val="00FE2F7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50A0C"/>
  <w15:docId w15:val="{A5BE4C9F-0276-437C-934A-6FE2A34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B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D5AB7"/>
    <w:pPr>
      <w:widowControl w:val="0"/>
      <w:autoSpaceDE w:val="0"/>
      <w:autoSpaceDN w:val="0"/>
      <w:spacing w:after="0" w:line="240" w:lineRule="auto"/>
      <w:ind w:left="188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4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865"/>
    <w:rPr>
      <w:rFonts w:ascii="Cambria" w:hAnsi="Cambria"/>
      <w:b/>
      <w:kern w:val="32"/>
      <w:sz w:val="32"/>
      <w:lang w:eastAsia="en-US"/>
    </w:rPr>
  </w:style>
  <w:style w:type="paragraph" w:customStyle="1" w:styleId="ConsPlusNormal">
    <w:name w:val="ConsPlusNormal"/>
    <w:link w:val="ConsPlusNormal0"/>
    <w:uiPriority w:val="99"/>
    <w:rsid w:val="00BA5A31"/>
    <w:pPr>
      <w:widowControl w:val="0"/>
      <w:suppressAutoHyphens/>
      <w:autoSpaceDE w:val="0"/>
      <w:ind w:firstLine="720"/>
    </w:pPr>
    <w:rPr>
      <w:rFonts w:ascii="Arial" w:hAnsi="Arial"/>
      <w:sz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A5A31"/>
    <w:rPr>
      <w:rFonts w:ascii="Arial" w:hAnsi="Arial"/>
      <w:sz w:val="22"/>
      <w:lang w:eastAsia="ar-SA" w:bidi="ar-SA"/>
    </w:rPr>
  </w:style>
  <w:style w:type="paragraph" w:styleId="a3">
    <w:name w:val="No Spacing"/>
    <w:uiPriority w:val="99"/>
    <w:qFormat/>
    <w:rsid w:val="00BA5A3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21">
    <w:name w:val="Абзац списка2"/>
    <w:basedOn w:val="a"/>
    <w:uiPriority w:val="99"/>
    <w:rsid w:val="00BA5A31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styleId="22">
    <w:name w:val="Body Text Indent 2"/>
    <w:basedOn w:val="a"/>
    <w:link w:val="23"/>
    <w:uiPriority w:val="99"/>
    <w:rsid w:val="00BA5A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BA5A31"/>
    <w:rPr>
      <w:rFonts w:ascii="Calibri" w:hAnsi="Calibri"/>
      <w:lang w:eastAsia="ar-SA" w:bidi="ar-SA"/>
    </w:rPr>
  </w:style>
  <w:style w:type="paragraph" w:styleId="a4">
    <w:name w:val="Body Text Indent"/>
    <w:basedOn w:val="a"/>
    <w:link w:val="a5"/>
    <w:uiPriority w:val="99"/>
    <w:semiHidden/>
    <w:rsid w:val="00382039"/>
    <w:pPr>
      <w:spacing w:after="120"/>
      <w:ind w:left="283"/>
    </w:pPr>
    <w:rPr>
      <w:sz w:val="20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82039"/>
  </w:style>
  <w:style w:type="paragraph" w:styleId="a6">
    <w:name w:val="header"/>
    <w:basedOn w:val="a"/>
    <w:link w:val="a7"/>
    <w:uiPriority w:val="99"/>
    <w:rsid w:val="000C7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C74EF"/>
  </w:style>
  <w:style w:type="paragraph" w:styleId="a8">
    <w:name w:val="footer"/>
    <w:basedOn w:val="a"/>
    <w:link w:val="a9"/>
    <w:uiPriority w:val="99"/>
    <w:rsid w:val="000C7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C74EF"/>
  </w:style>
  <w:style w:type="paragraph" w:styleId="aa">
    <w:name w:val="Body Text"/>
    <w:basedOn w:val="a"/>
    <w:link w:val="ab"/>
    <w:uiPriority w:val="99"/>
    <w:semiHidden/>
    <w:rsid w:val="002F4ED9"/>
    <w:pPr>
      <w:spacing w:after="120"/>
    </w:pPr>
    <w:rPr>
      <w:sz w:val="20"/>
      <w:szCs w:val="20"/>
      <w:lang w:eastAsia="ko-KR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F4ED9"/>
  </w:style>
  <w:style w:type="paragraph" w:styleId="ac">
    <w:name w:val="List Paragraph"/>
    <w:basedOn w:val="a"/>
    <w:uiPriority w:val="99"/>
    <w:qFormat/>
    <w:rsid w:val="00AE68E8"/>
    <w:pPr>
      <w:suppressAutoHyphens/>
      <w:spacing w:after="200" w:line="276" w:lineRule="auto"/>
      <w:ind w:left="720"/>
    </w:pPr>
    <w:rPr>
      <w:lang w:eastAsia="ar-SA"/>
    </w:rPr>
  </w:style>
  <w:style w:type="paragraph" w:customStyle="1" w:styleId="11">
    <w:name w:val="Заголовок 11"/>
    <w:basedOn w:val="a"/>
    <w:uiPriority w:val="99"/>
    <w:rsid w:val="00407FA3"/>
    <w:pPr>
      <w:widowControl w:val="0"/>
      <w:autoSpaceDE w:val="0"/>
      <w:autoSpaceDN w:val="0"/>
      <w:spacing w:after="0" w:line="240" w:lineRule="auto"/>
      <w:ind w:left="188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717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7170F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semiHidden/>
    <w:rsid w:val="00BD4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Strong"/>
    <w:uiPriority w:val="22"/>
    <w:qFormat/>
    <w:locked/>
    <w:rsid w:val="0061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79E3-96D3-49B0-865C-3B0E147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41061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user-31econom</dc:creator>
  <cp:keywords/>
  <dc:description/>
  <cp:lastModifiedBy>user</cp:lastModifiedBy>
  <cp:revision>38</cp:revision>
  <cp:lastPrinted>2022-05-04T03:42:00Z</cp:lastPrinted>
  <dcterms:created xsi:type="dcterms:W3CDTF">2022-04-28T11:52:00Z</dcterms:created>
  <dcterms:modified xsi:type="dcterms:W3CDTF">2023-04-26T04:19:00Z</dcterms:modified>
</cp:coreProperties>
</file>